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F6" w:rsidRPr="00941F59" w:rsidRDefault="007049F6" w:rsidP="007049F6">
      <w:pPr>
        <w:rPr>
          <w:rFonts w:ascii="Times New Roman" w:hAnsi="Times New Roman" w:cs="Times New Roman"/>
          <w:b/>
          <w:sz w:val="24"/>
          <w:szCs w:val="24"/>
        </w:rPr>
      </w:pPr>
      <w:r w:rsidRPr="00941F59">
        <w:rPr>
          <w:rFonts w:ascii="Times New Roman" w:hAnsi="Times New Roman" w:cs="Times New Roman"/>
          <w:b/>
          <w:sz w:val="24"/>
          <w:szCs w:val="24"/>
        </w:rPr>
        <w:t>PRESS RELEASE</w:t>
      </w:r>
    </w:p>
    <w:p w:rsidR="007049F6" w:rsidRPr="00171D81" w:rsidRDefault="007049F6" w:rsidP="007049F6">
      <w:pPr>
        <w:rPr>
          <w:rFonts w:ascii="Times New Roman" w:hAnsi="Times New Roman" w:cs="Times New Roman"/>
          <w:b/>
          <w:sz w:val="24"/>
          <w:szCs w:val="24"/>
        </w:rPr>
      </w:pPr>
    </w:p>
    <w:p w:rsidR="007049F6" w:rsidRPr="00941F59" w:rsidRDefault="00B413D8" w:rsidP="007049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May </w:t>
      </w:r>
      <w:r w:rsidR="004343AA">
        <w:rPr>
          <w:rFonts w:ascii="Times New Roman" w:hAnsi="Times New Roman" w:cs="Times New Roman" w:hint="eastAsia"/>
          <w:b/>
          <w:sz w:val="24"/>
          <w:szCs w:val="24"/>
        </w:rPr>
        <w:t>8</w:t>
      </w:r>
      <w:r w:rsidR="007049F6">
        <w:rPr>
          <w:rFonts w:ascii="Times New Roman" w:hAnsi="Times New Roman" w:cs="Times New Roman"/>
          <w:b/>
          <w:sz w:val="24"/>
          <w:szCs w:val="24"/>
        </w:rPr>
        <w:t>, 201</w:t>
      </w:r>
      <w:r w:rsidR="007049F6">
        <w:rPr>
          <w:rFonts w:ascii="Times New Roman" w:hAnsi="Times New Roman" w:cs="Times New Roman" w:hint="eastAsia"/>
          <w:b/>
          <w:sz w:val="24"/>
          <w:szCs w:val="24"/>
        </w:rPr>
        <w:t>3</w:t>
      </w:r>
    </w:p>
    <w:p w:rsidR="007049F6" w:rsidRPr="00941F59" w:rsidRDefault="007049F6" w:rsidP="007049F6">
      <w:pPr>
        <w:rPr>
          <w:rFonts w:ascii="Times New Roman" w:hAnsi="Times New Roman" w:cs="Times New Roman"/>
          <w:sz w:val="24"/>
          <w:szCs w:val="24"/>
        </w:rPr>
      </w:pPr>
    </w:p>
    <w:p w:rsidR="007049F6" w:rsidRDefault="007049F6" w:rsidP="007049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KOFIA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941F59">
        <w:rPr>
          <w:rFonts w:ascii="Times New Roman" w:hAnsi="Times New Roman" w:cs="Times New Roman"/>
          <w:b/>
          <w:sz w:val="24"/>
          <w:szCs w:val="24"/>
        </w:rPr>
        <w:t>Publishes Domestic</w:t>
      </w:r>
      <w:r>
        <w:rPr>
          <w:rFonts w:ascii="Times New Roman" w:hAnsi="Times New Roman" w:cs="Times New Roman"/>
          <w:b/>
          <w:sz w:val="24"/>
          <w:szCs w:val="24"/>
        </w:rPr>
        <w:t xml:space="preserve"> Fund Market Trend Analysis for</w:t>
      </w:r>
      <w:r w:rsidRPr="00941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D81">
        <w:rPr>
          <w:rFonts w:ascii="Times New Roman" w:hAnsi="Times New Roman" w:cs="Times New Roman" w:hint="eastAsia"/>
          <w:b/>
          <w:sz w:val="24"/>
          <w:szCs w:val="24"/>
        </w:rPr>
        <w:t>April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</w:p>
    <w:p w:rsidR="007049F6" w:rsidRPr="009D3049" w:rsidRDefault="007049F6" w:rsidP="007049F6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049F6" w:rsidRDefault="007049F6" w:rsidP="007049F6">
      <w:pPr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The NAV of t</w:t>
      </w:r>
      <w:r>
        <w:rPr>
          <w:rFonts w:ascii="Times New Roman" w:hAnsi="Times New Roman" w:cs="Times New Roman"/>
          <w:b/>
          <w:sz w:val="24"/>
          <w:szCs w:val="24"/>
        </w:rPr>
        <w:t>otal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funds </w:t>
      </w:r>
      <w:r w:rsidR="00CD28A2">
        <w:rPr>
          <w:rFonts w:ascii="Times New Roman" w:hAnsi="Times New Roman" w:cs="Times New Roman" w:hint="eastAsia"/>
          <w:b/>
          <w:sz w:val="24"/>
          <w:szCs w:val="24"/>
        </w:rPr>
        <w:t>dropped</w:t>
      </w:r>
      <w:r w:rsidR="00171D8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by KRW </w:t>
      </w:r>
      <w:r w:rsidR="00171D81">
        <w:rPr>
          <w:rFonts w:ascii="Times New Roman" w:hAnsi="Times New Roman" w:cs="Times New Roman" w:hint="eastAsia"/>
          <w:b/>
          <w:sz w:val="24"/>
          <w:szCs w:val="24"/>
        </w:rPr>
        <w:t>4</w:t>
      </w:r>
      <w:r w:rsidR="009D3049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171D81">
        <w:rPr>
          <w:rFonts w:ascii="Times New Roman" w:hAnsi="Times New Roman" w:cs="Times New Roman" w:hint="eastAsia"/>
          <w:b/>
          <w:sz w:val="24"/>
          <w:szCs w:val="24"/>
        </w:rPr>
        <w:t>8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tn from the previous month due to a </w:t>
      </w:r>
      <w:r w:rsidR="00171D81">
        <w:rPr>
          <w:rFonts w:ascii="Times New Roman" w:hAnsi="Times New Roman" w:cs="Times New Roman" w:hint="eastAsia"/>
          <w:b/>
          <w:sz w:val="24"/>
          <w:szCs w:val="24"/>
        </w:rPr>
        <w:t>de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crease </w:t>
      </w:r>
      <w:r w:rsidR="00FA456A">
        <w:rPr>
          <w:rFonts w:ascii="Times New Roman" w:hAnsi="Times New Roman" w:cs="Times New Roman" w:hint="eastAsia"/>
          <w:b/>
          <w:sz w:val="24"/>
          <w:szCs w:val="24"/>
        </w:rPr>
        <w:t xml:space="preserve">in </w:t>
      </w:r>
      <w:r w:rsidR="00171D81">
        <w:rPr>
          <w:rFonts w:ascii="Times New Roman" w:hAnsi="Times New Roman" w:cs="Times New Roman" w:hint="eastAsia"/>
          <w:b/>
          <w:sz w:val="24"/>
          <w:szCs w:val="24"/>
        </w:rPr>
        <w:t>MMF</w:t>
      </w:r>
      <w:r w:rsidR="0045529D">
        <w:rPr>
          <w:rFonts w:ascii="Times New Roman" w:hAnsi="Times New Roman" w:cs="Times New Roman" w:hint="eastAsia"/>
          <w:b/>
          <w:sz w:val="24"/>
          <w:szCs w:val="24"/>
        </w:rPr>
        <w:t>s,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45529D">
        <w:rPr>
          <w:rFonts w:ascii="Times New Roman" w:hAnsi="Times New Roman" w:cs="Times New Roman" w:hint="eastAsia"/>
          <w:b/>
          <w:sz w:val="24"/>
          <w:szCs w:val="24"/>
        </w:rPr>
        <w:t>recording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KRW </w:t>
      </w:r>
      <w:r w:rsidR="00AC3005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171D81">
        <w:rPr>
          <w:rFonts w:ascii="Times New Roman" w:hAnsi="Times New Roman" w:cs="Times New Roman" w:hint="eastAsia"/>
          <w:b/>
          <w:sz w:val="24"/>
          <w:szCs w:val="24"/>
        </w:rPr>
        <w:t>22</w:t>
      </w:r>
      <w:r w:rsidR="00AC3005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171D81">
        <w:rPr>
          <w:rFonts w:ascii="Times New Roman" w:hAnsi="Times New Roman" w:cs="Times New Roman" w:hint="eastAsia"/>
          <w:b/>
          <w:sz w:val="24"/>
          <w:szCs w:val="24"/>
        </w:rPr>
        <w:t>7</w:t>
      </w:r>
      <w:r>
        <w:rPr>
          <w:rFonts w:ascii="Times New Roman" w:hAnsi="Times New Roman" w:cs="Times New Roman" w:hint="eastAsia"/>
          <w:b/>
          <w:sz w:val="24"/>
          <w:szCs w:val="24"/>
        </w:rPr>
        <w:t>tn.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7049F6" w:rsidRPr="0045529D" w:rsidRDefault="007049F6" w:rsidP="007049F6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049F6" w:rsidRPr="0096705D" w:rsidRDefault="007049F6" w:rsidP="007049F6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Overview</w:t>
      </w:r>
    </w:p>
    <w:p w:rsidR="007049F6" w:rsidRDefault="007049F6" w:rsidP="007049F6">
      <w:pPr>
        <w:ind w:left="40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67196" w:rsidRDefault="00867196" w:rsidP="007049F6">
      <w:pPr>
        <w:ind w:left="400"/>
        <w:jc w:val="left"/>
        <w:rPr>
          <w:rFonts w:ascii="Times New Roman" w:hAnsi="Times New Roman" w:cs="Times New Roman"/>
          <w:sz w:val="24"/>
          <w:szCs w:val="24"/>
        </w:rPr>
      </w:pPr>
      <w:r w:rsidRPr="00BE2595">
        <w:rPr>
          <w:rFonts w:ascii="Times New Roman" w:hAnsi="Times New Roman" w:cs="Times New Roman" w:hint="eastAsia"/>
          <w:sz w:val="24"/>
          <w:szCs w:val="24"/>
        </w:rPr>
        <w:t xml:space="preserve">Despite an increase in bond funds, </w:t>
      </w:r>
      <w:r w:rsidR="00525D06">
        <w:rPr>
          <w:rFonts w:ascii="Times New Roman" w:hAnsi="Times New Roman" w:cs="Times New Roman" w:hint="eastAsia"/>
          <w:sz w:val="24"/>
          <w:szCs w:val="24"/>
        </w:rPr>
        <w:t>a</w:t>
      </w:r>
      <w:r w:rsidR="00BE2595">
        <w:rPr>
          <w:rFonts w:ascii="Times New Roman" w:hAnsi="Times New Roman" w:cs="Times New Roman" w:hint="eastAsia"/>
          <w:sz w:val="24"/>
          <w:szCs w:val="24"/>
        </w:rPr>
        <w:t xml:space="preserve"> decrease in MMFs caused </w:t>
      </w:r>
      <w:r w:rsidRPr="00BE2595">
        <w:rPr>
          <w:rFonts w:ascii="Times New Roman" w:hAnsi="Times New Roman" w:cs="Times New Roman" w:hint="eastAsia"/>
          <w:sz w:val="24"/>
          <w:szCs w:val="24"/>
        </w:rPr>
        <w:t>the NAV of funds overall</w:t>
      </w:r>
      <w:r w:rsidR="00BE2595">
        <w:rPr>
          <w:rFonts w:ascii="Times New Roman" w:hAnsi="Times New Roman" w:cs="Times New Roman" w:hint="eastAsia"/>
          <w:sz w:val="24"/>
          <w:szCs w:val="24"/>
        </w:rPr>
        <w:t xml:space="preserve"> to </w:t>
      </w:r>
      <w:r w:rsidR="00792AAA">
        <w:rPr>
          <w:rFonts w:ascii="Times New Roman" w:hAnsi="Times New Roman" w:cs="Times New Roman" w:hint="eastAsia"/>
          <w:sz w:val="24"/>
          <w:szCs w:val="24"/>
        </w:rPr>
        <w:t>drop</w:t>
      </w:r>
      <w:r w:rsidR="00BE259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25D06">
        <w:rPr>
          <w:rFonts w:ascii="Times New Roman" w:hAnsi="Times New Roman" w:cs="Times New Roman" w:hint="eastAsia"/>
          <w:sz w:val="24"/>
          <w:szCs w:val="24"/>
        </w:rPr>
        <w:t xml:space="preserve">by </w:t>
      </w:r>
      <w:r w:rsidR="00BE2595">
        <w:rPr>
          <w:rFonts w:ascii="Times New Roman" w:hAnsi="Times New Roman" w:cs="Times New Roman" w:hint="eastAsia"/>
          <w:sz w:val="24"/>
          <w:szCs w:val="24"/>
        </w:rPr>
        <w:t xml:space="preserve">KRW 4.8tn </w:t>
      </w:r>
      <w:proofErr w:type="spellStart"/>
      <w:r w:rsidR="00792AAA">
        <w:rPr>
          <w:rFonts w:ascii="Times New Roman" w:hAnsi="Times New Roman" w:cs="Times New Roman" w:hint="eastAsia"/>
          <w:sz w:val="24"/>
          <w:szCs w:val="24"/>
        </w:rPr>
        <w:t>MoM</w:t>
      </w:r>
      <w:proofErr w:type="spellEnd"/>
      <w:r w:rsidR="00792AA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E2595">
        <w:rPr>
          <w:rFonts w:ascii="Times New Roman" w:hAnsi="Times New Roman" w:cs="Times New Roman" w:hint="eastAsia"/>
          <w:sz w:val="24"/>
          <w:szCs w:val="24"/>
        </w:rPr>
        <w:t>to record KRW 322.7tn</w:t>
      </w:r>
      <w:r w:rsidR="00525D06">
        <w:rPr>
          <w:rFonts w:ascii="Times New Roman" w:hAnsi="Times New Roman" w:cs="Times New Roman" w:hint="eastAsia"/>
          <w:sz w:val="24"/>
          <w:szCs w:val="24"/>
        </w:rPr>
        <w:t>,</w:t>
      </w:r>
      <w:r w:rsidR="00BE2595">
        <w:rPr>
          <w:rFonts w:ascii="Times New Roman" w:hAnsi="Times New Roman" w:cs="Times New Roman" w:hint="eastAsia"/>
          <w:sz w:val="24"/>
          <w:szCs w:val="24"/>
        </w:rPr>
        <w:t xml:space="preserve"> and the outstanding amount </w:t>
      </w:r>
      <w:r w:rsidR="00792AAA">
        <w:rPr>
          <w:rFonts w:ascii="Times New Roman" w:hAnsi="Times New Roman" w:cs="Times New Roman" w:hint="eastAsia"/>
          <w:sz w:val="24"/>
          <w:szCs w:val="24"/>
        </w:rPr>
        <w:t>fell</w:t>
      </w:r>
      <w:r w:rsidR="00525D06">
        <w:rPr>
          <w:rFonts w:ascii="Times New Roman" w:hAnsi="Times New Roman" w:cs="Times New Roman" w:hint="eastAsia"/>
          <w:sz w:val="24"/>
          <w:szCs w:val="24"/>
        </w:rPr>
        <w:t xml:space="preserve"> by</w:t>
      </w:r>
      <w:r w:rsidR="00BE2595">
        <w:rPr>
          <w:rFonts w:ascii="Times New Roman" w:hAnsi="Times New Roman" w:cs="Times New Roman" w:hint="eastAsia"/>
          <w:sz w:val="24"/>
          <w:szCs w:val="24"/>
        </w:rPr>
        <w:t xml:space="preserve"> KRW 3.9tn to post KRW331.7tn.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867196" w:rsidRPr="00525D06" w:rsidRDefault="00867196" w:rsidP="007049F6">
      <w:pPr>
        <w:ind w:left="400"/>
        <w:jc w:val="left"/>
        <w:rPr>
          <w:rFonts w:ascii="Times New Roman" w:hAnsi="Times New Roman" w:cs="Times New Roman"/>
          <w:sz w:val="24"/>
          <w:szCs w:val="24"/>
        </w:rPr>
      </w:pPr>
    </w:p>
    <w:p w:rsidR="007049F6" w:rsidRDefault="007049F6" w:rsidP="007049F6">
      <w:pPr>
        <w:pStyle w:val="a3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r w:rsidR="00867196">
        <w:rPr>
          <w:rFonts w:ascii="Times New Roman" w:hAnsi="Times New Roman" w:cs="Times New Roman" w:hint="eastAsia"/>
          <w:sz w:val="24"/>
          <w:szCs w:val="24"/>
        </w:rPr>
        <w:t xml:space="preserve">Increase in </w:t>
      </w:r>
      <w:r>
        <w:rPr>
          <w:rFonts w:ascii="Times New Roman" w:hAnsi="Times New Roman" w:cs="Times New Roman" w:hint="eastAsia"/>
          <w:sz w:val="24"/>
          <w:szCs w:val="24"/>
        </w:rPr>
        <w:t>Bond Funds) The NAV of bond funds and hybr</w:t>
      </w:r>
      <w:r w:rsidR="00597971">
        <w:rPr>
          <w:rFonts w:ascii="Times New Roman" w:hAnsi="Times New Roman" w:cs="Times New Roman" w:hint="eastAsia"/>
          <w:sz w:val="24"/>
          <w:szCs w:val="24"/>
        </w:rPr>
        <w:t xml:space="preserve">id-bond funds </w:t>
      </w:r>
      <w:r w:rsidR="00414D88">
        <w:rPr>
          <w:rFonts w:ascii="Times New Roman" w:hAnsi="Times New Roman" w:cs="Times New Roman" w:hint="eastAsia"/>
          <w:sz w:val="24"/>
          <w:szCs w:val="24"/>
        </w:rPr>
        <w:t xml:space="preserve">rose </w:t>
      </w:r>
      <w:r w:rsidR="00597971">
        <w:rPr>
          <w:rFonts w:ascii="Times New Roman" w:hAnsi="Times New Roman" w:cs="Times New Roman" w:hint="eastAsia"/>
          <w:sz w:val="24"/>
          <w:szCs w:val="24"/>
        </w:rPr>
        <w:t xml:space="preserve">by KRW </w:t>
      </w:r>
      <w:r w:rsidR="00867196">
        <w:rPr>
          <w:rFonts w:ascii="Times New Roman" w:hAnsi="Times New Roman" w:cs="Times New Roman" w:hint="eastAsia"/>
          <w:sz w:val="24"/>
          <w:szCs w:val="24"/>
        </w:rPr>
        <w:t>4.8</w:t>
      </w:r>
      <w:r>
        <w:rPr>
          <w:rFonts w:ascii="Times New Roman" w:hAnsi="Times New Roman" w:cs="Times New Roman" w:hint="eastAsia"/>
          <w:sz w:val="24"/>
          <w:szCs w:val="24"/>
        </w:rPr>
        <w:t xml:space="preserve">tn and </w:t>
      </w:r>
      <w:r w:rsidR="00597971">
        <w:rPr>
          <w:rFonts w:ascii="Times New Roman" w:hAnsi="Times New Roman" w:cs="Times New Roman" w:hint="eastAsia"/>
          <w:sz w:val="24"/>
          <w:szCs w:val="24"/>
        </w:rPr>
        <w:t xml:space="preserve">KRW </w:t>
      </w:r>
      <w:r w:rsidR="00867196">
        <w:rPr>
          <w:rFonts w:ascii="Times New Roman" w:hAnsi="Times New Roman" w:cs="Times New Roman" w:hint="eastAsia"/>
          <w:sz w:val="24"/>
          <w:szCs w:val="24"/>
        </w:rPr>
        <w:t>1.3</w:t>
      </w:r>
      <w:r>
        <w:rPr>
          <w:rFonts w:ascii="Times New Roman" w:hAnsi="Times New Roman" w:cs="Times New Roman" w:hint="eastAsia"/>
          <w:sz w:val="24"/>
          <w:szCs w:val="24"/>
        </w:rPr>
        <w:t xml:space="preserve">tn, respectively, due to </w:t>
      </w:r>
      <w:r w:rsidR="00867196">
        <w:rPr>
          <w:rFonts w:ascii="Times New Roman" w:hAnsi="Times New Roman" w:cs="Times New Roman" w:hint="eastAsia"/>
          <w:sz w:val="24"/>
          <w:szCs w:val="24"/>
        </w:rPr>
        <w:t>increase</w:t>
      </w:r>
      <w:r w:rsidR="006E0F06">
        <w:rPr>
          <w:rFonts w:ascii="Times New Roman" w:hAnsi="Times New Roman" w:cs="Times New Roman" w:hint="eastAsia"/>
          <w:sz w:val="24"/>
          <w:szCs w:val="24"/>
        </w:rPr>
        <w:t>d</w:t>
      </w:r>
      <w:r w:rsidR="00867196">
        <w:rPr>
          <w:rFonts w:ascii="Times New Roman" w:hAnsi="Times New Roman" w:cs="Times New Roman" w:hint="eastAsia"/>
          <w:sz w:val="24"/>
          <w:szCs w:val="24"/>
        </w:rPr>
        <w:t xml:space="preserve"> capital inflow on the back of </w:t>
      </w:r>
      <w:r w:rsidR="00BE2595">
        <w:rPr>
          <w:rFonts w:ascii="Times New Roman" w:hAnsi="Times New Roman" w:cs="Times New Roman" w:hint="eastAsia"/>
          <w:sz w:val="24"/>
          <w:szCs w:val="24"/>
        </w:rPr>
        <w:t>bargain hunting</w:t>
      </w:r>
      <w:r w:rsidR="00867196">
        <w:rPr>
          <w:rFonts w:ascii="Times New Roman" w:hAnsi="Times New Roman" w:cs="Times New Roman" w:hint="eastAsia"/>
          <w:sz w:val="24"/>
          <w:szCs w:val="24"/>
        </w:rPr>
        <w:t xml:space="preserve"> as bond </w:t>
      </w:r>
      <w:r w:rsidR="006E0F06">
        <w:rPr>
          <w:rFonts w:ascii="Times New Roman" w:hAnsi="Times New Roman" w:cs="Times New Roman" w:hint="eastAsia"/>
          <w:sz w:val="24"/>
          <w:szCs w:val="24"/>
        </w:rPr>
        <w:t>yields</w:t>
      </w:r>
      <w:r w:rsidR="00867196">
        <w:rPr>
          <w:rFonts w:ascii="Times New Roman" w:hAnsi="Times New Roman" w:cs="Times New Roman" w:hint="eastAsia"/>
          <w:sz w:val="24"/>
          <w:szCs w:val="24"/>
        </w:rPr>
        <w:t xml:space="preserve"> temporarily rose* in early April. </w:t>
      </w:r>
    </w:p>
    <w:p w:rsidR="007049F6" w:rsidRPr="00525D06" w:rsidRDefault="007049F6" w:rsidP="007049F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49F6" w:rsidRDefault="007049F6" w:rsidP="007049F6">
      <w:pPr>
        <w:pStyle w:val="a3"/>
        <w:ind w:leftChars="0" w:left="76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*The 3-year </w:t>
      </w:r>
      <w:r w:rsidR="00867196" w:rsidRPr="007146B4">
        <w:rPr>
          <w:rFonts w:ascii="Times New Roman" w:hAnsi="Times New Roman" w:cs="Times New Roman" w:hint="eastAsia"/>
          <w:sz w:val="22"/>
        </w:rPr>
        <w:t>corporate</w:t>
      </w:r>
      <w:r w:rsidR="00597971">
        <w:rPr>
          <w:rFonts w:ascii="Times New Roman" w:hAnsi="Times New Roman" w:cs="Times New Roman" w:hint="eastAsia"/>
          <w:sz w:val="22"/>
        </w:rPr>
        <w:t xml:space="preserve"> bond </w:t>
      </w:r>
      <w:r w:rsidR="000D7400">
        <w:rPr>
          <w:rFonts w:ascii="Times New Roman" w:hAnsi="Times New Roman" w:cs="Times New Roman" w:hint="eastAsia"/>
          <w:sz w:val="22"/>
        </w:rPr>
        <w:t>yield</w:t>
      </w:r>
      <w:r w:rsidR="00597971">
        <w:rPr>
          <w:rFonts w:ascii="Times New Roman" w:hAnsi="Times New Roman" w:cs="Times New Roman" w:hint="eastAsia"/>
          <w:sz w:val="22"/>
        </w:rPr>
        <w:t xml:space="preserve"> </w:t>
      </w:r>
      <w:r w:rsidR="00867196">
        <w:rPr>
          <w:rFonts w:ascii="Times New Roman" w:hAnsi="Times New Roman" w:cs="Times New Roman" w:hint="eastAsia"/>
          <w:sz w:val="22"/>
        </w:rPr>
        <w:t>recorded 2.55% in early April (5</w:t>
      </w:r>
      <w:r w:rsidR="00867196" w:rsidRPr="00867196">
        <w:rPr>
          <w:rFonts w:ascii="Times New Roman" w:hAnsi="Times New Roman" w:cs="Times New Roman" w:hint="eastAsia"/>
          <w:sz w:val="22"/>
          <w:vertAlign w:val="superscript"/>
        </w:rPr>
        <w:t>th</w:t>
      </w:r>
      <w:r w:rsidR="00867196">
        <w:rPr>
          <w:rFonts w:ascii="Times New Roman" w:hAnsi="Times New Roman" w:cs="Times New Roman" w:hint="eastAsia"/>
          <w:sz w:val="22"/>
        </w:rPr>
        <w:t>), rose up to 2.76%</w:t>
      </w:r>
      <w:r w:rsidR="00414D88">
        <w:rPr>
          <w:rFonts w:ascii="Times New Roman" w:hAnsi="Times New Roman" w:cs="Times New Roman" w:hint="eastAsia"/>
          <w:sz w:val="22"/>
        </w:rPr>
        <w:t>,</w:t>
      </w:r>
      <w:r w:rsidR="00867196">
        <w:rPr>
          <w:rFonts w:ascii="Times New Roman" w:hAnsi="Times New Roman" w:cs="Times New Roman" w:hint="eastAsia"/>
          <w:sz w:val="22"/>
        </w:rPr>
        <w:t xml:space="preserve"> and </w:t>
      </w:r>
      <w:r w:rsidR="00141961">
        <w:rPr>
          <w:rFonts w:ascii="Times New Roman" w:hAnsi="Times New Roman" w:cs="Times New Roman" w:hint="eastAsia"/>
          <w:sz w:val="22"/>
        </w:rPr>
        <w:t>remained</w:t>
      </w:r>
      <w:r w:rsidR="00867196">
        <w:rPr>
          <w:rFonts w:ascii="Times New Roman" w:hAnsi="Times New Roman" w:cs="Times New Roman" w:hint="eastAsia"/>
          <w:sz w:val="22"/>
        </w:rPr>
        <w:t xml:space="preserve"> above 2.65% </w:t>
      </w:r>
      <w:r w:rsidR="000D7400">
        <w:rPr>
          <w:rFonts w:ascii="Times New Roman" w:hAnsi="Times New Roman" w:cs="Times New Roman" w:hint="eastAsia"/>
          <w:sz w:val="22"/>
        </w:rPr>
        <w:t>until</w:t>
      </w:r>
      <w:r w:rsidR="00867196">
        <w:rPr>
          <w:rFonts w:ascii="Times New Roman" w:hAnsi="Times New Roman" w:cs="Times New Roman" w:hint="eastAsia"/>
          <w:sz w:val="22"/>
        </w:rPr>
        <w:t xml:space="preserve"> April 24</w:t>
      </w:r>
      <w:r w:rsidRPr="00F15972">
        <w:rPr>
          <w:rFonts w:ascii="Times New Roman" w:hAnsi="Times New Roman" w:cs="Times New Roman" w:hint="eastAsia"/>
          <w:sz w:val="22"/>
        </w:rPr>
        <w:t>.</w:t>
      </w:r>
    </w:p>
    <w:p w:rsidR="007049F6" w:rsidRPr="00141961" w:rsidRDefault="007049F6" w:rsidP="007049F6">
      <w:pPr>
        <w:pStyle w:val="a3"/>
        <w:ind w:leftChars="0" w:left="760"/>
        <w:jc w:val="left"/>
        <w:rPr>
          <w:rFonts w:ascii="Times New Roman" w:hAnsi="Times New Roman" w:cs="Times New Roman"/>
          <w:sz w:val="22"/>
        </w:rPr>
      </w:pPr>
    </w:p>
    <w:p w:rsidR="007049F6" w:rsidRPr="00233FC7" w:rsidRDefault="00414D88" w:rsidP="00233FC7">
      <w:pPr>
        <w:pStyle w:val="a3"/>
        <w:numPr>
          <w:ilvl w:val="0"/>
          <w:numId w:val="12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 particular</w:t>
      </w:r>
      <w:r w:rsidR="007049F6" w:rsidRPr="00233FC7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ED3909" w:rsidRPr="00233FC7">
        <w:rPr>
          <w:rFonts w:ascii="Times New Roman" w:hAnsi="Times New Roman" w:cs="Times New Roman" w:hint="eastAsia"/>
          <w:sz w:val="24"/>
          <w:szCs w:val="24"/>
        </w:rPr>
        <w:t>domestic</w:t>
      </w:r>
      <w:r w:rsidR="007049F6" w:rsidRPr="00233FC7">
        <w:rPr>
          <w:rFonts w:ascii="Times New Roman" w:hAnsi="Times New Roman" w:cs="Times New Roman" w:hint="eastAsia"/>
          <w:sz w:val="24"/>
          <w:szCs w:val="24"/>
        </w:rPr>
        <w:t xml:space="preserve"> bond funds recorded a net inflow </w:t>
      </w:r>
      <w:r w:rsidR="00ED3909" w:rsidRPr="00233FC7">
        <w:rPr>
          <w:rFonts w:ascii="Times New Roman" w:hAnsi="Times New Roman" w:cs="Times New Roman" w:hint="eastAsia"/>
          <w:sz w:val="24"/>
          <w:szCs w:val="24"/>
        </w:rPr>
        <w:t xml:space="preserve">of KRW 0.9tn in </w:t>
      </w:r>
      <w:r w:rsidR="00525D06" w:rsidRPr="00233FC7">
        <w:rPr>
          <w:rFonts w:ascii="Times New Roman" w:hAnsi="Times New Roman" w:cs="Times New Roman" w:hint="eastAsia"/>
          <w:sz w:val="24"/>
          <w:szCs w:val="24"/>
        </w:rPr>
        <w:t>April</w:t>
      </w:r>
      <w:r w:rsidR="007049F6" w:rsidRPr="00233FC7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A10BF9" w:rsidRPr="00233FC7">
        <w:rPr>
          <w:rFonts w:ascii="Times New Roman" w:hAnsi="Times New Roman" w:cs="Times New Roman" w:hint="eastAsia"/>
          <w:sz w:val="24"/>
          <w:szCs w:val="24"/>
        </w:rPr>
        <w:t>driving</w:t>
      </w:r>
      <w:r w:rsidR="007049F6" w:rsidRPr="00233FC7">
        <w:rPr>
          <w:rFonts w:ascii="Times New Roman" w:hAnsi="Times New Roman" w:cs="Times New Roman" w:hint="eastAsia"/>
          <w:sz w:val="24"/>
          <w:szCs w:val="24"/>
        </w:rPr>
        <w:t xml:space="preserve"> the increase in </w:t>
      </w:r>
      <w:r w:rsidR="000D7400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7049F6" w:rsidRPr="00233FC7">
        <w:rPr>
          <w:rFonts w:ascii="Times New Roman" w:hAnsi="Times New Roman" w:cs="Times New Roman" w:hint="eastAsia"/>
          <w:sz w:val="24"/>
          <w:szCs w:val="24"/>
        </w:rPr>
        <w:t xml:space="preserve">NAV of bond funds.      </w:t>
      </w:r>
    </w:p>
    <w:p w:rsidR="007049F6" w:rsidRPr="000C1B5A" w:rsidRDefault="007049F6" w:rsidP="007049F6">
      <w:pPr>
        <w:pStyle w:val="a3"/>
        <w:ind w:leftChars="0" w:left="760"/>
        <w:jc w:val="left"/>
        <w:rPr>
          <w:rFonts w:ascii="Times New Roman" w:hAnsi="Times New Roman" w:cs="Times New Roman"/>
          <w:sz w:val="24"/>
          <w:szCs w:val="24"/>
        </w:rPr>
      </w:pPr>
    </w:p>
    <w:p w:rsidR="00885111" w:rsidRDefault="007049F6" w:rsidP="007049F6">
      <w:pPr>
        <w:pStyle w:val="a3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r w:rsidR="00525D06">
        <w:rPr>
          <w:rFonts w:ascii="Times New Roman" w:hAnsi="Times New Roman" w:cs="Times New Roman" w:hint="eastAsia"/>
          <w:sz w:val="24"/>
          <w:szCs w:val="24"/>
        </w:rPr>
        <w:t>Decrease in MMF</w:t>
      </w:r>
      <w:r>
        <w:rPr>
          <w:rFonts w:ascii="Times New Roman" w:hAnsi="Times New Roman" w:cs="Times New Roman" w:hint="eastAsia"/>
          <w:sz w:val="24"/>
          <w:szCs w:val="24"/>
        </w:rPr>
        <w:t xml:space="preserve">s) </w:t>
      </w:r>
      <w:r w:rsidR="00862640">
        <w:rPr>
          <w:rFonts w:ascii="Times New Roman" w:hAnsi="Times New Roman" w:cs="Times New Roman" w:hint="eastAsia"/>
          <w:sz w:val="24"/>
          <w:szCs w:val="24"/>
        </w:rPr>
        <w:t xml:space="preserve">In April, MMFs decreased </w:t>
      </w:r>
      <w:r w:rsidR="00510594">
        <w:rPr>
          <w:rFonts w:ascii="Times New Roman" w:hAnsi="Times New Roman" w:cs="Times New Roman" w:hint="eastAsia"/>
          <w:sz w:val="24"/>
          <w:szCs w:val="24"/>
        </w:rPr>
        <w:t>due to</w:t>
      </w:r>
      <w:r w:rsidR="00862640">
        <w:rPr>
          <w:rFonts w:ascii="Times New Roman" w:hAnsi="Times New Roman" w:cs="Times New Roman" w:hint="eastAsia"/>
          <w:sz w:val="24"/>
          <w:szCs w:val="24"/>
        </w:rPr>
        <w:t xml:space="preserve"> an outflow of capital</w:t>
      </w:r>
      <w:r w:rsidR="00414D88">
        <w:rPr>
          <w:rFonts w:ascii="Times New Roman" w:hAnsi="Times New Roman" w:cs="Times New Roman" w:hint="eastAsia"/>
          <w:sz w:val="24"/>
          <w:szCs w:val="24"/>
        </w:rPr>
        <w:t>,</w:t>
      </w:r>
      <w:r w:rsidR="008626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10594">
        <w:rPr>
          <w:rFonts w:ascii="Times New Roman" w:hAnsi="Times New Roman" w:cs="Times New Roman" w:hint="eastAsia"/>
          <w:sz w:val="24"/>
          <w:szCs w:val="24"/>
        </w:rPr>
        <w:t xml:space="preserve">with institutional investors seeking </w:t>
      </w:r>
      <w:r w:rsidR="008C55AC">
        <w:rPr>
          <w:rFonts w:ascii="Times New Roman" w:hAnsi="Times New Roman" w:cs="Times New Roman" w:hint="eastAsia"/>
          <w:sz w:val="24"/>
          <w:szCs w:val="24"/>
        </w:rPr>
        <w:t>redemption</w:t>
      </w:r>
      <w:r w:rsidR="009230AA">
        <w:rPr>
          <w:rFonts w:ascii="Times New Roman" w:hAnsi="Times New Roman" w:cs="Times New Roman" w:hint="eastAsia"/>
          <w:sz w:val="24"/>
          <w:szCs w:val="24"/>
        </w:rPr>
        <w:t>s</w:t>
      </w:r>
      <w:r w:rsidR="00862640">
        <w:rPr>
          <w:rFonts w:ascii="Times New Roman" w:hAnsi="Times New Roman" w:cs="Times New Roman" w:hint="eastAsia"/>
          <w:sz w:val="24"/>
          <w:szCs w:val="24"/>
        </w:rPr>
        <w:t xml:space="preserve">, leading the NAV to drop by KRW 10.3tn from the previous month. </w:t>
      </w:r>
    </w:p>
    <w:p w:rsidR="007049F6" w:rsidRPr="009921D9" w:rsidRDefault="007049F6" w:rsidP="007049F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49F6" w:rsidRPr="005D7D9C" w:rsidRDefault="007049F6" w:rsidP="00233FC7">
      <w:pPr>
        <w:ind w:left="720" w:hangingChars="30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233FC7"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="000D740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20CE0" w:rsidRPr="00E942E7">
        <w:rPr>
          <w:rFonts w:ascii="Times New Roman" w:hAnsi="Times New Roman" w:cs="Times New Roman" w:hint="eastAsia"/>
          <w:sz w:val="24"/>
          <w:szCs w:val="24"/>
        </w:rPr>
        <w:t>VAT</w:t>
      </w:r>
      <w:r w:rsidRPr="00E942E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62640" w:rsidRPr="00E942E7">
        <w:rPr>
          <w:rFonts w:ascii="Times New Roman" w:hAnsi="Times New Roman" w:cs="Times New Roman" w:hint="eastAsia"/>
          <w:sz w:val="24"/>
          <w:szCs w:val="24"/>
        </w:rPr>
        <w:t>report</w:t>
      </w:r>
      <w:r w:rsidR="00501896" w:rsidRPr="00E942E7">
        <w:rPr>
          <w:rFonts w:ascii="Times New Roman" w:hAnsi="Times New Roman" w:cs="Times New Roman" w:hint="eastAsia"/>
          <w:sz w:val="24"/>
          <w:szCs w:val="24"/>
        </w:rPr>
        <w:t>s</w:t>
      </w:r>
      <w:r w:rsidR="00D20CE0" w:rsidRPr="00E942E7">
        <w:rPr>
          <w:rFonts w:ascii="Times New Roman" w:hAnsi="Times New Roman" w:cs="Times New Roman" w:hint="eastAsia"/>
          <w:sz w:val="24"/>
          <w:szCs w:val="24"/>
        </w:rPr>
        <w:t xml:space="preserve"> by</w:t>
      </w:r>
      <w:r w:rsidR="00862640" w:rsidRPr="00E942E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62640" w:rsidRPr="00E942E7">
        <w:rPr>
          <w:rFonts w:ascii="Times New Roman" w:hAnsi="Times New Roman" w:cs="Times New Roman"/>
          <w:sz w:val="24"/>
          <w:szCs w:val="24"/>
        </w:rPr>
        <w:t>institutional</w:t>
      </w:r>
      <w:r w:rsidR="00862640" w:rsidRPr="00E942E7">
        <w:rPr>
          <w:rFonts w:ascii="Times New Roman" w:hAnsi="Times New Roman" w:cs="Times New Roman" w:hint="eastAsia"/>
          <w:sz w:val="24"/>
          <w:szCs w:val="24"/>
        </w:rPr>
        <w:t xml:space="preserve"> investors (companies </w:t>
      </w:r>
      <w:r w:rsidR="00510594" w:rsidRPr="00E942E7">
        <w:rPr>
          <w:rFonts w:ascii="Times New Roman" w:hAnsi="Times New Roman" w:cs="Times New Roman" w:hint="eastAsia"/>
          <w:sz w:val="24"/>
          <w:szCs w:val="24"/>
        </w:rPr>
        <w:t>closing</w:t>
      </w:r>
      <w:r w:rsidR="00D20CE0" w:rsidRPr="00E942E7">
        <w:rPr>
          <w:rFonts w:ascii="Times New Roman" w:hAnsi="Times New Roman" w:cs="Times New Roman" w:hint="eastAsia"/>
          <w:sz w:val="24"/>
          <w:szCs w:val="24"/>
        </w:rPr>
        <w:t xml:space="preserve"> accounts</w:t>
      </w:r>
      <w:r w:rsidR="00862640" w:rsidRPr="00E942E7">
        <w:rPr>
          <w:rFonts w:ascii="Times New Roman" w:hAnsi="Times New Roman" w:cs="Times New Roman" w:hint="eastAsia"/>
          <w:sz w:val="24"/>
          <w:szCs w:val="24"/>
        </w:rPr>
        <w:t xml:space="preserve"> in December, report</w:t>
      </w:r>
      <w:r w:rsidR="00D20CE0" w:rsidRPr="00E942E7">
        <w:rPr>
          <w:rFonts w:ascii="Times New Roman" w:hAnsi="Times New Roman" w:cs="Times New Roman" w:hint="eastAsia"/>
          <w:sz w:val="24"/>
          <w:szCs w:val="24"/>
        </w:rPr>
        <w:t>ing</w:t>
      </w:r>
      <w:r w:rsidR="00862640" w:rsidRPr="00E942E7">
        <w:rPr>
          <w:rFonts w:ascii="Times New Roman" w:hAnsi="Times New Roman" w:cs="Times New Roman" w:hint="eastAsia"/>
          <w:sz w:val="24"/>
          <w:szCs w:val="24"/>
        </w:rPr>
        <w:t xml:space="preserve"> in April) and the increase* in direct bond purchases </w:t>
      </w:r>
      <w:r w:rsidR="009230AA">
        <w:rPr>
          <w:rFonts w:ascii="Times New Roman" w:hAnsi="Times New Roman" w:cs="Times New Roman" w:hint="eastAsia"/>
          <w:sz w:val="24"/>
          <w:szCs w:val="24"/>
        </w:rPr>
        <w:t>prompted by</w:t>
      </w:r>
      <w:r w:rsidR="00862640" w:rsidRPr="00E942E7">
        <w:rPr>
          <w:rFonts w:ascii="Times New Roman" w:hAnsi="Times New Roman" w:cs="Times New Roman" w:hint="eastAsia"/>
          <w:sz w:val="24"/>
          <w:szCs w:val="24"/>
        </w:rPr>
        <w:t xml:space="preserve"> the momentary rise in bond </w:t>
      </w:r>
      <w:r w:rsidR="00CD28A2" w:rsidRPr="00E942E7">
        <w:rPr>
          <w:rFonts w:ascii="Times New Roman" w:hAnsi="Times New Roman" w:cs="Times New Roman" w:hint="eastAsia"/>
          <w:sz w:val="24"/>
          <w:szCs w:val="24"/>
        </w:rPr>
        <w:t>yields</w:t>
      </w:r>
      <w:r w:rsidR="00862640" w:rsidRPr="00E942E7">
        <w:rPr>
          <w:rFonts w:ascii="Times New Roman" w:hAnsi="Times New Roman" w:cs="Times New Roman" w:hint="eastAsia"/>
          <w:sz w:val="24"/>
          <w:szCs w:val="24"/>
        </w:rPr>
        <w:t>, etc.</w:t>
      </w:r>
      <w:r w:rsidR="00141961">
        <w:rPr>
          <w:rFonts w:ascii="Times New Roman" w:hAnsi="Times New Roman" w:cs="Times New Roman" w:hint="eastAsia"/>
          <w:sz w:val="24"/>
          <w:szCs w:val="24"/>
        </w:rPr>
        <w:t>,</w:t>
      </w:r>
      <w:r w:rsidR="00862640" w:rsidRPr="00E942E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D28A2" w:rsidRPr="00E942E7">
        <w:rPr>
          <w:rFonts w:ascii="Times New Roman" w:hAnsi="Times New Roman" w:cs="Times New Roman" w:hint="eastAsia"/>
          <w:sz w:val="24"/>
          <w:szCs w:val="24"/>
        </w:rPr>
        <w:t>are</w:t>
      </w:r>
      <w:r w:rsidR="00862640" w:rsidRPr="00E942E7">
        <w:rPr>
          <w:rFonts w:ascii="Times New Roman" w:hAnsi="Times New Roman" w:cs="Times New Roman" w:hint="eastAsia"/>
          <w:sz w:val="24"/>
          <w:szCs w:val="24"/>
        </w:rPr>
        <w:t xml:space="preserve"> perceived to have </w:t>
      </w:r>
      <w:r w:rsidR="00510594" w:rsidRPr="00E942E7">
        <w:rPr>
          <w:rFonts w:ascii="Times New Roman" w:hAnsi="Times New Roman" w:cs="Times New Roman" w:hint="eastAsia"/>
          <w:sz w:val="24"/>
          <w:szCs w:val="24"/>
        </w:rPr>
        <w:t>driven</w:t>
      </w:r>
      <w:r w:rsidR="00CD28A2" w:rsidRPr="00E942E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230AA">
        <w:rPr>
          <w:rFonts w:ascii="Times New Roman" w:hAnsi="Times New Roman" w:cs="Times New Roman" w:hint="eastAsia"/>
          <w:sz w:val="24"/>
          <w:szCs w:val="24"/>
        </w:rPr>
        <w:t>institutional investors</w:t>
      </w:r>
      <w:r w:rsidR="009230AA">
        <w:rPr>
          <w:rFonts w:ascii="Times New Roman" w:hAnsi="Times New Roman" w:cs="Times New Roman"/>
          <w:sz w:val="24"/>
          <w:szCs w:val="24"/>
        </w:rPr>
        <w:t>’</w:t>
      </w:r>
      <w:r w:rsidR="000D7400" w:rsidRPr="00E942E7">
        <w:rPr>
          <w:rFonts w:ascii="Times New Roman" w:hAnsi="Times New Roman" w:cs="Times New Roman" w:hint="eastAsia"/>
          <w:sz w:val="24"/>
          <w:szCs w:val="24"/>
        </w:rPr>
        <w:t xml:space="preserve"> redemption of MMFs</w:t>
      </w:r>
      <w:r w:rsidR="00862640" w:rsidRPr="00E942E7">
        <w:rPr>
          <w:rFonts w:ascii="Times New Roman" w:hAnsi="Times New Roman" w:cs="Times New Roman" w:hint="eastAsia"/>
          <w:sz w:val="24"/>
          <w:szCs w:val="24"/>
        </w:rPr>
        <w:t>.</w:t>
      </w:r>
      <w:r w:rsidR="0086264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7049F6" w:rsidRPr="009230AA" w:rsidRDefault="007049F6" w:rsidP="009446E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49F6" w:rsidRPr="008F1A32" w:rsidRDefault="007049F6" w:rsidP="007049F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49F6" w:rsidRDefault="007049F6" w:rsidP="007049F6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6705D">
        <w:rPr>
          <w:rFonts w:ascii="Times New Roman" w:hAnsi="Times New Roman" w:cs="Times New Roman" w:hint="eastAsia"/>
          <w:b/>
          <w:sz w:val="24"/>
          <w:szCs w:val="24"/>
        </w:rPr>
        <w:t>Market Trends by Fund Type</w:t>
      </w:r>
    </w:p>
    <w:p w:rsidR="007049F6" w:rsidRDefault="007049F6" w:rsidP="007049F6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C55AC" w:rsidRDefault="007049F6" w:rsidP="007049F6">
      <w:pPr>
        <w:pStyle w:val="a3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(Equity Funds) </w:t>
      </w:r>
      <w:r w:rsidR="00EC7CA7">
        <w:rPr>
          <w:rFonts w:ascii="Times New Roman" w:hAnsi="Times New Roman" w:cs="Times New Roman" w:hint="eastAsia"/>
          <w:sz w:val="24"/>
          <w:szCs w:val="24"/>
        </w:rPr>
        <w:t xml:space="preserve">The KOSPI </w:t>
      </w:r>
      <w:r w:rsidR="000D7400">
        <w:rPr>
          <w:rFonts w:ascii="Times New Roman" w:hAnsi="Times New Roman" w:cs="Times New Roman" w:hint="eastAsia"/>
          <w:sz w:val="24"/>
          <w:szCs w:val="24"/>
        </w:rPr>
        <w:t xml:space="preserve">declined due to </w:t>
      </w:r>
      <w:r w:rsidR="00EC7CA7">
        <w:rPr>
          <w:rFonts w:ascii="Times New Roman" w:hAnsi="Times New Roman" w:cs="Times New Roman" w:hint="eastAsia"/>
          <w:sz w:val="24"/>
          <w:szCs w:val="24"/>
        </w:rPr>
        <w:t>N</w:t>
      </w:r>
      <w:r w:rsidR="00EC7CA7">
        <w:rPr>
          <w:rFonts w:ascii="Times New Roman" w:hAnsi="Times New Roman" w:cs="Times New Roman"/>
          <w:sz w:val="24"/>
          <w:szCs w:val="24"/>
        </w:rPr>
        <w:t>o</w:t>
      </w:r>
      <w:r w:rsidR="00EC7CA7">
        <w:rPr>
          <w:rFonts w:ascii="Times New Roman" w:hAnsi="Times New Roman" w:cs="Times New Roman" w:hint="eastAsia"/>
          <w:sz w:val="24"/>
          <w:szCs w:val="24"/>
        </w:rPr>
        <w:t xml:space="preserve">rth Korea </w:t>
      </w:r>
      <w:r w:rsidR="00D525FC">
        <w:rPr>
          <w:rFonts w:ascii="Times New Roman" w:hAnsi="Times New Roman" w:cs="Times New Roman" w:hint="eastAsia"/>
          <w:sz w:val="24"/>
          <w:szCs w:val="24"/>
        </w:rPr>
        <w:t xml:space="preserve">provocations </w:t>
      </w:r>
      <w:r w:rsidR="00EC7CA7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D525FC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0D7400">
        <w:rPr>
          <w:rFonts w:ascii="Times New Roman" w:hAnsi="Times New Roman" w:cs="Times New Roman" w:hint="eastAsia"/>
          <w:sz w:val="24"/>
          <w:szCs w:val="24"/>
        </w:rPr>
        <w:t>weak</w:t>
      </w:r>
      <w:r w:rsidR="00EC7CA7">
        <w:rPr>
          <w:rFonts w:ascii="Times New Roman" w:hAnsi="Times New Roman" w:cs="Times New Roman" w:hint="eastAsia"/>
          <w:sz w:val="24"/>
          <w:szCs w:val="24"/>
        </w:rPr>
        <w:t xml:space="preserve"> performance of domestic </w:t>
      </w:r>
      <w:r w:rsidR="008C55AC">
        <w:rPr>
          <w:rFonts w:ascii="Times New Roman" w:hAnsi="Times New Roman" w:cs="Times New Roman" w:hint="eastAsia"/>
          <w:sz w:val="24"/>
          <w:szCs w:val="24"/>
        </w:rPr>
        <w:t>companies</w:t>
      </w:r>
      <w:r w:rsidR="000D7400">
        <w:rPr>
          <w:rFonts w:ascii="Times New Roman" w:hAnsi="Times New Roman" w:cs="Times New Roman" w:hint="eastAsia"/>
          <w:sz w:val="24"/>
          <w:szCs w:val="24"/>
        </w:rPr>
        <w:t>, causing</w:t>
      </w:r>
      <w:r w:rsidR="008C55AC">
        <w:rPr>
          <w:rFonts w:ascii="Times New Roman" w:hAnsi="Times New Roman" w:cs="Times New Roman" w:hint="eastAsia"/>
          <w:sz w:val="24"/>
          <w:szCs w:val="24"/>
        </w:rPr>
        <w:t xml:space="preserve"> the NAV of equity funds to </w:t>
      </w:r>
      <w:r w:rsidR="00501896">
        <w:rPr>
          <w:rFonts w:ascii="Times New Roman" w:hAnsi="Times New Roman" w:cs="Times New Roman" w:hint="eastAsia"/>
          <w:sz w:val="24"/>
          <w:szCs w:val="24"/>
        </w:rPr>
        <w:t>decrease</w:t>
      </w:r>
      <w:r w:rsidR="000D7400">
        <w:rPr>
          <w:rFonts w:ascii="Times New Roman" w:hAnsi="Times New Roman" w:cs="Times New Roman" w:hint="eastAsia"/>
          <w:sz w:val="24"/>
          <w:szCs w:val="24"/>
        </w:rPr>
        <w:t>.</w:t>
      </w:r>
      <w:r w:rsidR="008C55A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D7400">
        <w:rPr>
          <w:rFonts w:ascii="Times New Roman" w:hAnsi="Times New Roman" w:cs="Times New Roman" w:hint="eastAsia"/>
          <w:sz w:val="24"/>
          <w:szCs w:val="24"/>
        </w:rPr>
        <w:t>However,</w:t>
      </w:r>
      <w:r w:rsidR="008C55AC">
        <w:rPr>
          <w:rFonts w:ascii="Times New Roman" w:hAnsi="Times New Roman" w:cs="Times New Roman" w:hint="eastAsia"/>
          <w:sz w:val="24"/>
          <w:szCs w:val="24"/>
        </w:rPr>
        <w:t xml:space="preserve"> this was </w:t>
      </w:r>
      <w:r w:rsidR="00DE3AB5">
        <w:rPr>
          <w:rFonts w:ascii="Times New Roman" w:hAnsi="Times New Roman" w:cs="Times New Roman" w:hint="eastAsia"/>
          <w:sz w:val="24"/>
          <w:szCs w:val="24"/>
        </w:rPr>
        <w:t>offset</w:t>
      </w:r>
      <w:r w:rsidR="008C55AC">
        <w:rPr>
          <w:rFonts w:ascii="Times New Roman" w:hAnsi="Times New Roman" w:cs="Times New Roman" w:hint="eastAsia"/>
          <w:sz w:val="24"/>
          <w:szCs w:val="24"/>
        </w:rPr>
        <w:t xml:space="preserve"> by the inflow of capital </w:t>
      </w:r>
      <w:r w:rsidR="00D525FC">
        <w:rPr>
          <w:rFonts w:ascii="Times New Roman" w:hAnsi="Times New Roman" w:cs="Times New Roman" w:hint="eastAsia"/>
          <w:sz w:val="24"/>
          <w:szCs w:val="24"/>
        </w:rPr>
        <w:t xml:space="preserve">due to </w:t>
      </w:r>
      <w:r w:rsidR="008C55AC">
        <w:rPr>
          <w:rFonts w:ascii="Times New Roman" w:hAnsi="Times New Roman" w:cs="Times New Roman" w:hint="eastAsia"/>
          <w:sz w:val="24"/>
          <w:szCs w:val="24"/>
        </w:rPr>
        <w:t>bargain hunting</w:t>
      </w:r>
      <w:r w:rsidR="00D525FC">
        <w:rPr>
          <w:rFonts w:ascii="Times New Roman" w:hAnsi="Times New Roman" w:cs="Times New Roman" w:hint="eastAsia"/>
          <w:sz w:val="24"/>
          <w:szCs w:val="24"/>
        </w:rPr>
        <w:t>,</w:t>
      </w:r>
      <w:r w:rsidR="008C55A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525FC">
        <w:rPr>
          <w:rFonts w:ascii="Times New Roman" w:hAnsi="Times New Roman" w:cs="Times New Roman" w:hint="eastAsia"/>
          <w:sz w:val="24"/>
          <w:szCs w:val="24"/>
        </w:rPr>
        <w:t xml:space="preserve">so </w:t>
      </w:r>
      <w:r w:rsidR="008C55AC">
        <w:rPr>
          <w:rFonts w:ascii="Times New Roman" w:hAnsi="Times New Roman" w:cs="Times New Roman" w:hint="eastAsia"/>
          <w:sz w:val="24"/>
          <w:szCs w:val="24"/>
        </w:rPr>
        <w:t xml:space="preserve">the NAV of equity funds edged down </w:t>
      </w:r>
      <w:r w:rsidR="00D525FC">
        <w:rPr>
          <w:rFonts w:ascii="Times New Roman" w:hAnsi="Times New Roman" w:cs="Times New Roman" w:hint="eastAsia"/>
          <w:sz w:val="24"/>
          <w:szCs w:val="24"/>
        </w:rPr>
        <w:t xml:space="preserve">by </w:t>
      </w:r>
      <w:r w:rsidR="008C55AC">
        <w:rPr>
          <w:rFonts w:ascii="Times New Roman" w:hAnsi="Times New Roman" w:cs="Times New Roman" w:hint="eastAsia"/>
          <w:sz w:val="24"/>
          <w:szCs w:val="24"/>
        </w:rPr>
        <w:t xml:space="preserve">KRW 0.05tn from the previous month to record KRW 64.4tn. </w:t>
      </w:r>
    </w:p>
    <w:p w:rsidR="007049F6" w:rsidRPr="000537E9" w:rsidRDefault="008C55AC" w:rsidP="008C55AC">
      <w:pPr>
        <w:ind w:left="345"/>
        <w:jc w:val="left"/>
        <w:rPr>
          <w:rFonts w:ascii="Times New Roman" w:hAnsi="Times New Roman" w:cs="Times New Roman"/>
          <w:sz w:val="24"/>
          <w:szCs w:val="24"/>
        </w:rPr>
      </w:pPr>
      <w:r w:rsidRPr="008C55AC"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p w:rsidR="007049F6" w:rsidRDefault="007049F6" w:rsidP="007049F6">
      <w:pPr>
        <w:ind w:left="720" w:hangingChars="30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233FC7">
        <w:rPr>
          <w:rFonts w:ascii="Times New Roman" w:hAnsi="Times New Roman" w:cs="Times New Roman" w:hint="eastAsia"/>
          <w:sz w:val="24"/>
          <w:szCs w:val="24"/>
        </w:rPr>
        <w:t xml:space="preserve">-  </w:t>
      </w:r>
      <w:r w:rsidR="00DE4765">
        <w:rPr>
          <w:rFonts w:ascii="Times New Roman" w:hAnsi="Times New Roman" w:cs="Times New Roman" w:hint="eastAsia"/>
          <w:sz w:val="24"/>
          <w:szCs w:val="24"/>
        </w:rPr>
        <w:t>Meanwhile, t</w:t>
      </w:r>
      <w:r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="000537E9">
        <w:rPr>
          <w:rFonts w:ascii="Times New Roman" w:hAnsi="Times New Roman" w:cs="Times New Roman" w:hint="eastAsia"/>
          <w:sz w:val="24"/>
          <w:szCs w:val="24"/>
        </w:rPr>
        <w:t xml:space="preserve">continued </w:t>
      </w:r>
      <w:r>
        <w:rPr>
          <w:rFonts w:ascii="Times New Roman" w:hAnsi="Times New Roman" w:cs="Times New Roman" w:hint="eastAsia"/>
          <w:sz w:val="24"/>
          <w:szCs w:val="24"/>
        </w:rPr>
        <w:t xml:space="preserve">redemption trend of overseas equity funds </w:t>
      </w:r>
      <w:r w:rsidR="000537E9">
        <w:rPr>
          <w:rFonts w:ascii="Times New Roman" w:hAnsi="Times New Roman" w:cs="Times New Roman" w:hint="eastAsia"/>
          <w:sz w:val="24"/>
          <w:szCs w:val="24"/>
        </w:rPr>
        <w:t xml:space="preserve">led </w:t>
      </w:r>
      <w:r>
        <w:rPr>
          <w:rFonts w:ascii="Times New Roman" w:hAnsi="Times New Roman" w:cs="Times New Roman" w:hint="eastAsia"/>
          <w:sz w:val="24"/>
          <w:szCs w:val="24"/>
        </w:rPr>
        <w:t xml:space="preserve">the NAV </w:t>
      </w:r>
      <w:r w:rsidR="000537E9">
        <w:rPr>
          <w:rFonts w:ascii="Times New Roman" w:hAnsi="Times New Roman" w:cs="Times New Roman" w:hint="eastAsia"/>
          <w:sz w:val="24"/>
          <w:szCs w:val="24"/>
        </w:rPr>
        <w:t xml:space="preserve">and outstanding amount </w:t>
      </w:r>
      <w:r>
        <w:rPr>
          <w:rFonts w:ascii="Times New Roman" w:hAnsi="Times New Roman" w:cs="Times New Roman" w:hint="eastAsia"/>
          <w:sz w:val="24"/>
          <w:szCs w:val="24"/>
        </w:rPr>
        <w:t>of overseas equity funds to drop by KRW 0.</w:t>
      </w:r>
      <w:r w:rsidR="00DE3AB5">
        <w:rPr>
          <w:rFonts w:ascii="Times New Roman" w:hAnsi="Times New Roman" w:cs="Times New Roman" w:hint="eastAsia"/>
          <w:sz w:val="24"/>
          <w:szCs w:val="24"/>
        </w:rPr>
        <w:t>5</w:t>
      </w:r>
      <w:r w:rsidR="000537E9">
        <w:rPr>
          <w:rFonts w:ascii="Times New Roman" w:hAnsi="Times New Roman" w:cs="Times New Roman" w:hint="eastAsia"/>
          <w:sz w:val="24"/>
          <w:szCs w:val="24"/>
        </w:rPr>
        <w:t xml:space="preserve">tn </w:t>
      </w:r>
      <w:proofErr w:type="spellStart"/>
      <w:r w:rsidR="000537E9">
        <w:rPr>
          <w:rFonts w:ascii="Times New Roman" w:hAnsi="Times New Roman" w:cs="Times New Roman" w:hint="eastAsia"/>
          <w:sz w:val="24"/>
          <w:szCs w:val="24"/>
        </w:rPr>
        <w:t>MoM</w:t>
      </w:r>
      <w:proofErr w:type="spellEnd"/>
      <w:r w:rsidR="000537E9">
        <w:rPr>
          <w:rFonts w:ascii="Times New Roman" w:hAnsi="Times New Roman" w:cs="Times New Roman" w:hint="eastAsia"/>
          <w:sz w:val="24"/>
          <w:szCs w:val="24"/>
        </w:rPr>
        <w:t xml:space="preserve"> and KRW 0.</w:t>
      </w:r>
      <w:r w:rsidR="00DE3AB5">
        <w:rPr>
          <w:rFonts w:ascii="Times New Roman" w:hAnsi="Times New Roman" w:cs="Times New Roman" w:hint="eastAsia"/>
          <w:sz w:val="24"/>
          <w:szCs w:val="24"/>
        </w:rPr>
        <w:t>8</w:t>
      </w:r>
      <w:r w:rsidR="000537E9">
        <w:rPr>
          <w:rFonts w:ascii="Times New Roman" w:hAnsi="Times New Roman" w:cs="Times New Roman" w:hint="eastAsia"/>
          <w:sz w:val="24"/>
          <w:szCs w:val="24"/>
        </w:rPr>
        <w:t xml:space="preserve">tn </w:t>
      </w:r>
      <w:proofErr w:type="spellStart"/>
      <w:r w:rsidR="00506C33">
        <w:rPr>
          <w:rFonts w:ascii="Times New Roman" w:hAnsi="Times New Roman" w:cs="Times New Roman" w:hint="eastAsia"/>
          <w:sz w:val="24"/>
          <w:szCs w:val="24"/>
        </w:rPr>
        <w:t>MoM</w:t>
      </w:r>
      <w:proofErr w:type="spellEnd"/>
      <w:r w:rsidR="005A116F">
        <w:rPr>
          <w:rFonts w:ascii="Times New Roman" w:hAnsi="Times New Roman" w:cs="Times New Roman" w:hint="eastAsia"/>
          <w:sz w:val="24"/>
          <w:szCs w:val="24"/>
        </w:rPr>
        <w:t xml:space="preserve"> correspondingly</w:t>
      </w:r>
      <w:r w:rsidR="00B76484">
        <w:rPr>
          <w:rFonts w:ascii="Times New Roman" w:hAnsi="Times New Roman" w:cs="Times New Roman" w:hint="eastAsia"/>
          <w:sz w:val="24"/>
          <w:szCs w:val="24"/>
        </w:rPr>
        <w:t>,</w:t>
      </w:r>
      <w:r w:rsidR="00506C3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537E9">
        <w:rPr>
          <w:rFonts w:ascii="Times New Roman" w:hAnsi="Times New Roman" w:cs="Times New Roman" w:hint="eastAsia"/>
          <w:sz w:val="24"/>
          <w:szCs w:val="24"/>
        </w:rPr>
        <w:t>reach</w:t>
      </w:r>
      <w:r w:rsidR="00B76484">
        <w:rPr>
          <w:rFonts w:ascii="Times New Roman" w:hAnsi="Times New Roman" w:cs="Times New Roman" w:hint="eastAsia"/>
          <w:sz w:val="24"/>
          <w:szCs w:val="24"/>
        </w:rPr>
        <w:t>ing</w:t>
      </w:r>
      <w:r w:rsidR="000537E9">
        <w:rPr>
          <w:rFonts w:ascii="Times New Roman" w:hAnsi="Times New Roman" w:cs="Times New Roman" w:hint="eastAsia"/>
          <w:sz w:val="24"/>
          <w:szCs w:val="24"/>
        </w:rPr>
        <w:t xml:space="preserve"> KRW </w:t>
      </w:r>
      <w:r w:rsidR="00DE3AB5">
        <w:rPr>
          <w:rFonts w:ascii="Times New Roman" w:hAnsi="Times New Roman" w:cs="Times New Roman" w:hint="eastAsia"/>
          <w:sz w:val="24"/>
          <w:szCs w:val="24"/>
        </w:rPr>
        <w:t>19</w:t>
      </w:r>
      <w:r w:rsidR="000537E9">
        <w:rPr>
          <w:rFonts w:ascii="Times New Roman" w:hAnsi="Times New Roman" w:cs="Times New Roman" w:hint="eastAsia"/>
          <w:sz w:val="24"/>
          <w:szCs w:val="24"/>
        </w:rPr>
        <w:t>.</w:t>
      </w:r>
      <w:r w:rsidR="00DE3AB5">
        <w:rPr>
          <w:rFonts w:ascii="Times New Roman" w:hAnsi="Times New Roman" w:cs="Times New Roman" w:hint="eastAsia"/>
          <w:sz w:val="24"/>
          <w:szCs w:val="24"/>
        </w:rPr>
        <w:t>6</w:t>
      </w:r>
      <w:r w:rsidR="000537E9">
        <w:rPr>
          <w:rFonts w:ascii="Times New Roman" w:hAnsi="Times New Roman" w:cs="Times New Roman" w:hint="eastAsia"/>
          <w:sz w:val="24"/>
          <w:szCs w:val="24"/>
        </w:rPr>
        <w:t>tn and KRW 2</w:t>
      </w:r>
      <w:r w:rsidR="00DE3AB5">
        <w:rPr>
          <w:rFonts w:ascii="Times New Roman" w:hAnsi="Times New Roman" w:cs="Times New Roman" w:hint="eastAsia"/>
          <w:sz w:val="24"/>
          <w:szCs w:val="24"/>
        </w:rPr>
        <w:t>4</w:t>
      </w:r>
      <w:r w:rsidR="000537E9">
        <w:rPr>
          <w:rFonts w:ascii="Times New Roman" w:hAnsi="Times New Roman" w:cs="Times New Roman" w:hint="eastAsia"/>
          <w:sz w:val="24"/>
          <w:szCs w:val="24"/>
        </w:rPr>
        <w:t>.</w:t>
      </w:r>
      <w:r w:rsidR="00DE3AB5">
        <w:rPr>
          <w:rFonts w:ascii="Times New Roman" w:hAnsi="Times New Roman" w:cs="Times New Roman" w:hint="eastAsia"/>
          <w:sz w:val="24"/>
          <w:szCs w:val="24"/>
        </w:rPr>
        <w:t>2</w:t>
      </w:r>
      <w:r w:rsidR="000537E9">
        <w:rPr>
          <w:rFonts w:ascii="Times New Roman" w:hAnsi="Times New Roman" w:cs="Times New Roman" w:hint="eastAsia"/>
          <w:sz w:val="24"/>
          <w:szCs w:val="24"/>
        </w:rPr>
        <w:t>tn, respectively.</w:t>
      </w: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</w:p>
    <w:p w:rsidR="008C55AC" w:rsidRPr="00B76484" w:rsidRDefault="008C55AC" w:rsidP="007049F6">
      <w:pPr>
        <w:ind w:left="720" w:hangingChars="30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7049F6" w:rsidRPr="00231010" w:rsidRDefault="007049F6" w:rsidP="00CD45B8">
      <w:pPr>
        <w:pStyle w:val="a3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231010">
        <w:rPr>
          <w:rFonts w:ascii="Times New Roman" w:hAnsi="Times New Roman" w:cs="Times New Roman" w:hint="eastAsia"/>
          <w:sz w:val="24"/>
          <w:szCs w:val="24"/>
        </w:rPr>
        <w:t xml:space="preserve">(Bond Funds) </w:t>
      </w:r>
      <w:r w:rsidR="009343EC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0F1957">
        <w:rPr>
          <w:rFonts w:ascii="Times New Roman" w:hAnsi="Times New Roman" w:cs="Times New Roman" w:hint="eastAsia"/>
          <w:sz w:val="24"/>
          <w:szCs w:val="24"/>
        </w:rPr>
        <w:t xml:space="preserve">NAV of domestic bond funds rose by KRW 4.5tn </w:t>
      </w:r>
      <w:proofErr w:type="spellStart"/>
      <w:r w:rsidR="000F1957">
        <w:rPr>
          <w:rFonts w:ascii="Times New Roman" w:hAnsi="Times New Roman" w:cs="Times New Roman" w:hint="eastAsia"/>
          <w:sz w:val="24"/>
          <w:szCs w:val="24"/>
        </w:rPr>
        <w:t>MoM</w:t>
      </w:r>
      <w:proofErr w:type="spellEnd"/>
      <w:r w:rsidR="000F1957">
        <w:rPr>
          <w:rFonts w:ascii="Times New Roman" w:hAnsi="Times New Roman" w:cs="Times New Roman" w:hint="eastAsia"/>
          <w:sz w:val="24"/>
          <w:szCs w:val="24"/>
        </w:rPr>
        <w:t xml:space="preserve"> to reach KRW 48.9tn, and the outstanding amount </w:t>
      </w:r>
      <w:r w:rsidR="000F1957">
        <w:rPr>
          <w:rFonts w:ascii="Times New Roman" w:hAnsi="Times New Roman" w:cs="Times New Roman"/>
          <w:sz w:val="24"/>
          <w:szCs w:val="24"/>
        </w:rPr>
        <w:t>increased</w:t>
      </w:r>
      <w:r w:rsidR="000F1957">
        <w:rPr>
          <w:rFonts w:ascii="Times New Roman" w:hAnsi="Times New Roman" w:cs="Times New Roman" w:hint="eastAsia"/>
          <w:sz w:val="24"/>
          <w:szCs w:val="24"/>
        </w:rPr>
        <w:t xml:space="preserve"> by KRW 4.7tn </w:t>
      </w:r>
      <w:proofErr w:type="spellStart"/>
      <w:r w:rsidR="00CD45B8">
        <w:rPr>
          <w:rFonts w:ascii="Times New Roman" w:hAnsi="Times New Roman" w:cs="Times New Roman" w:hint="eastAsia"/>
          <w:sz w:val="24"/>
          <w:szCs w:val="24"/>
        </w:rPr>
        <w:t>MoM</w:t>
      </w:r>
      <w:proofErr w:type="spellEnd"/>
      <w:r w:rsidR="00CD45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F1957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CD45B8">
        <w:rPr>
          <w:rFonts w:ascii="Times New Roman" w:hAnsi="Times New Roman" w:cs="Times New Roman" w:hint="eastAsia"/>
          <w:sz w:val="24"/>
          <w:szCs w:val="24"/>
        </w:rPr>
        <w:t>record</w:t>
      </w:r>
      <w:r w:rsidR="000F195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D45B8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KRW 48.3tn, </w:t>
      </w:r>
      <w:r w:rsidR="009230AA">
        <w:rPr>
          <w:rFonts w:ascii="Times New Roman" w:hAnsi="Times New Roman" w:cs="Times New Roman" w:hint="eastAsia"/>
          <w:sz w:val="24"/>
          <w:szCs w:val="24"/>
        </w:rPr>
        <w:t>driven by</w:t>
      </w:r>
      <w:r w:rsidR="00CD45B8">
        <w:rPr>
          <w:rFonts w:ascii="Times New Roman" w:hAnsi="Times New Roman" w:cs="Times New Roman" w:hint="eastAsia"/>
          <w:sz w:val="24"/>
          <w:szCs w:val="24"/>
        </w:rPr>
        <w:t xml:space="preserve"> the inflow of capital </w:t>
      </w:r>
      <w:r w:rsidR="00141961">
        <w:rPr>
          <w:rFonts w:ascii="Times New Roman" w:hAnsi="Times New Roman" w:cs="Times New Roman" w:hint="eastAsia"/>
          <w:sz w:val="24"/>
          <w:szCs w:val="24"/>
        </w:rPr>
        <w:t xml:space="preserve">due to </w:t>
      </w:r>
      <w:r w:rsidR="00CD45B8">
        <w:rPr>
          <w:rFonts w:ascii="Times New Roman" w:hAnsi="Times New Roman" w:cs="Times New Roman" w:hint="eastAsia"/>
          <w:sz w:val="24"/>
          <w:szCs w:val="24"/>
        </w:rPr>
        <w:t xml:space="preserve">bargain hunting following the temporary rise </w:t>
      </w:r>
      <w:r w:rsidR="00141961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CD45B8">
        <w:rPr>
          <w:rFonts w:ascii="Times New Roman" w:hAnsi="Times New Roman" w:cs="Times New Roman" w:hint="eastAsia"/>
          <w:sz w:val="24"/>
          <w:szCs w:val="24"/>
        </w:rPr>
        <w:t xml:space="preserve">bond </w:t>
      </w:r>
      <w:r w:rsidR="00501896">
        <w:rPr>
          <w:rFonts w:ascii="Times New Roman" w:hAnsi="Times New Roman" w:cs="Times New Roman" w:hint="eastAsia"/>
          <w:sz w:val="24"/>
          <w:szCs w:val="24"/>
        </w:rPr>
        <w:t>yields</w:t>
      </w:r>
      <w:r w:rsidR="00CD45B8">
        <w:rPr>
          <w:rFonts w:ascii="Times New Roman" w:hAnsi="Times New Roman" w:cs="Times New Roman" w:hint="eastAsia"/>
          <w:sz w:val="24"/>
          <w:szCs w:val="24"/>
        </w:rPr>
        <w:t xml:space="preserve"> in April 2013. </w:t>
      </w:r>
    </w:p>
    <w:p w:rsidR="007049F6" w:rsidRPr="00141961" w:rsidRDefault="007049F6" w:rsidP="007049F6">
      <w:pPr>
        <w:ind w:left="345"/>
        <w:jc w:val="left"/>
        <w:rPr>
          <w:rFonts w:ascii="Times New Roman" w:hAnsi="Times New Roman" w:cs="Times New Roman"/>
          <w:sz w:val="24"/>
          <w:szCs w:val="24"/>
        </w:rPr>
      </w:pPr>
    </w:p>
    <w:p w:rsidR="00CD45B8" w:rsidRPr="00233FC7" w:rsidRDefault="00CD45B8" w:rsidP="00233FC7">
      <w:pPr>
        <w:pStyle w:val="a3"/>
        <w:numPr>
          <w:ilvl w:val="0"/>
          <w:numId w:val="12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233FC7">
        <w:rPr>
          <w:rFonts w:ascii="Times New Roman" w:hAnsi="Times New Roman" w:cs="Times New Roman" w:hint="eastAsia"/>
          <w:sz w:val="24"/>
          <w:szCs w:val="24"/>
        </w:rPr>
        <w:t xml:space="preserve">The NAV of overseas bond funds </w:t>
      </w:r>
      <w:r w:rsidR="00EE51B4" w:rsidRPr="00233FC7">
        <w:rPr>
          <w:rFonts w:ascii="Times New Roman" w:hAnsi="Times New Roman" w:cs="Times New Roman" w:hint="eastAsia"/>
          <w:sz w:val="24"/>
          <w:szCs w:val="24"/>
        </w:rPr>
        <w:t xml:space="preserve">persisted </w:t>
      </w:r>
      <w:r w:rsidR="00141961">
        <w:rPr>
          <w:rFonts w:ascii="Times New Roman" w:hAnsi="Times New Roman" w:cs="Times New Roman" w:hint="eastAsia"/>
          <w:sz w:val="24"/>
          <w:szCs w:val="24"/>
        </w:rPr>
        <w:t>in</w:t>
      </w:r>
      <w:r w:rsidR="00141961" w:rsidRPr="00233FC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33FC7">
        <w:rPr>
          <w:rFonts w:ascii="Times New Roman" w:hAnsi="Times New Roman" w:cs="Times New Roman" w:hint="eastAsia"/>
          <w:sz w:val="24"/>
          <w:szCs w:val="24"/>
        </w:rPr>
        <w:t xml:space="preserve">its upward trend from March and increased by KRW 0.3tn </w:t>
      </w:r>
      <w:proofErr w:type="spellStart"/>
      <w:r w:rsidRPr="00233FC7">
        <w:rPr>
          <w:rFonts w:ascii="Times New Roman" w:hAnsi="Times New Roman" w:cs="Times New Roman" w:hint="eastAsia"/>
          <w:sz w:val="24"/>
          <w:szCs w:val="24"/>
        </w:rPr>
        <w:t>MoM</w:t>
      </w:r>
      <w:proofErr w:type="spellEnd"/>
      <w:r w:rsidRPr="00233FC7">
        <w:rPr>
          <w:rFonts w:ascii="Times New Roman" w:hAnsi="Times New Roman" w:cs="Times New Roman" w:hint="eastAsia"/>
          <w:sz w:val="24"/>
          <w:szCs w:val="24"/>
        </w:rPr>
        <w:t xml:space="preserve">, reaching KRW 6.6tn, and the outstanding amount </w:t>
      </w:r>
      <w:r w:rsidR="0080305D">
        <w:rPr>
          <w:rFonts w:ascii="Times New Roman" w:hAnsi="Times New Roman" w:cs="Times New Roman" w:hint="eastAsia"/>
          <w:sz w:val="24"/>
          <w:szCs w:val="24"/>
        </w:rPr>
        <w:t>rose</w:t>
      </w:r>
      <w:r w:rsidR="0080305D" w:rsidRPr="00233FC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33FC7">
        <w:rPr>
          <w:rFonts w:ascii="Times New Roman" w:hAnsi="Times New Roman" w:cs="Times New Roman" w:hint="eastAsia"/>
          <w:sz w:val="24"/>
          <w:szCs w:val="24"/>
        </w:rPr>
        <w:t xml:space="preserve">by KRW 0.3tn </w:t>
      </w:r>
      <w:proofErr w:type="spellStart"/>
      <w:r w:rsidRPr="00233FC7">
        <w:rPr>
          <w:rFonts w:ascii="Times New Roman" w:hAnsi="Times New Roman" w:cs="Times New Roman" w:hint="eastAsia"/>
          <w:sz w:val="24"/>
          <w:szCs w:val="24"/>
        </w:rPr>
        <w:t>MoM</w:t>
      </w:r>
      <w:proofErr w:type="spellEnd"/>
      <w:r w:rsidRPr="00233FC7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501896">
        <w:rPr>
          <w:rFonts w:ascii="Times New Roman" w:hAnsi="Times New Roman" w:cs="Times New Roman" w:hint="eastAsia"/>
          <w:sz w:val="24"/>
          <w:szCs w:val="24"/>
        </w:rPr>
        <w:t>recording</w:t>
      </w:r>
      <w:r w:rsidRPr="00233FC7">
        <w:rPr>
          <w:rFonts w:ascii="Times New Roman" w:hAnsi="Times New Roman" w:cs="Times New Roman" w:hint="eastAsia"/>
          <w:sz w:val="24"/>
          <w:szCs w:val="24"/>
        </w:rPr>
        <w:t xml:space="preserve"> KRW 6.6tn. </w:t>
      </w:r>
    </w:p>
    <w:p w:rsidR="007049F6" w:rsidRDefault="007049F6" w:rsidP="007049F6">
      <w:pPr>
        <w:ind w:left="40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45B8" w:rsidRDefault="007049F6" w:rsidP="007049F6">
      <w:pPr>
        <w:pStyle w:val="a3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(MMFs) </w:t>
      </w:r>
      <w:r w:rsidR="00CD45B8">
        <w:rPr>
          <w:rFonts w:ascii="Times New Roman" w:hAnsi="Times New Roman" w:cs="Times New Roman" w:hint="eastAsia"/>
          <w:sz w:val="24"/>
          <w:szCs w:val="24"/>
        </w:rPr>
        <w:t>After a net outflow of KRW 2.0tn in March, MMF</w:t>
      </w:r>
      <w:r w:rsidR="00501896">
        <w:rPr>
          <w:rFonts w:ascii="Times New Roman" w:hAnsi="Times New Roman" w:cs="Times New Roman" w:hint="eastAsia"/>
          <w:sz w:val="24"/>
          <w:szCs w:val="24"/>
        </w:rPr>
        <w:t>s</w:t>
      </w:r>
      <w:r w:rsidR="00CD45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E51B4">
        <w:rPr>
          <w:rFonts w:ascii="Times New Roman" w:hAnsi="Times New Roman" w:cs="Times New Roman" w:hint="eastAsia"/>
          <w:sz w:val="24"/>
          <w:szCs w:val="24"/>
        </w:rPr>
        <w:t>continued</w:t>
      </w:r>
      <w:r w:rsidR="00CD45B8">
        <w:rPr>
          <w:rFonts w:ascii="Times New Roman" w:hAnsi="Times New Roman" w:cs="Times New Roman" w:hint="eastAsia"/>
          <w:sz w:val="24"/>
          <w:szCs w:val="24"/>
        </w:rPr>
        <w:t xml:space="preserve"> to decrease in April due to </w:t>
      </w:r>
      <w:r w:rsidR="009230AA">
        <w:rPr>
          <w:rFonts w:ascii="Times New Roman" w:hAnsi="Times New Roman" w:cs="Times New Roman" w:hint="eastAsia"/>
          <w:sz w:val="24"/>
          <w:szCs w:val="24"/>
        </w:rPr>
        <w:t>institutional investors</w:t>
      </w:r>
      <w:r w:rsidR="009230AA">
        <w:rPr>
          <w:rFonts w:ascii="Times New Roman" w:hAnsi="Times New Roman" w:cs="Times New Roman"/>
          <w:sz w:val="24"/>
          <w:szCs w:val="24"/>
        </w:rPr>
        <w:t>’</w:t>
      </w:r>
      <w:r w:rsidR="009230A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D45B8">
        <w:rPr>
          <w:rFonts w:ascii="Times New Roman" w:hAnsi="Times New Roman" w:cs="Times New Roman" w:hint="eastAsia"/>
          <w:sz w:val="24"/>
          <w:szCs w:val="24"/>
        </w:rPr>
        <w:t>redemption</w:t>
      </w:r>
      <w:r w:rsidR="009230AA">
        <w:rPr>
          <w:rFonts w:ascii="Times New Roman" w:hAnsi="Times New Roman" w:cs="Times New Roman" w:hint="eastAsia"/>
          <w:sz w:val="24"/>
          <w:szCs w:val="24"/>
        </w:rPr>
        <w:t>s</w:t>
      </w:r>
      <w:r w:rsidR="00EE51B4">
        <w:rPr>
          <w:rFonts w:ascii="Times New Roman" w:hAnsi="Times New Roman" w:cs="Times New Roman" w:hint="eastAsia"/>
          <w:sz w:val="24"/>
          <w:szCs w:val="24"/>
        </w:rPr>
        <w:t xml:space="preserve">, and the NAV fell by KRW 10.3tn </w:t>
      </w:r>
      <w:proofErr w:type="spellStart"/>
      <w:r w:rsidR="00EE51B4">
        <w:rPr>
          <w:rFonts w:ascii="Times New Roman" w:hAnsi="Times New Roman" w:cs="Times New Roman" w:hint="eastAsia"/>
          <w:sz w:val="24"/>
          <w:szCs w:val="24"/>
        </w:rPr>
        <w:t>MoM</w:t>
      </w:r>
      <w:proofErr w:type="spellEnd"/>
      <w:r w:rsidR="00EE51B4">
        <w:rPr>
          <w:rFonts w:ascii="Times New Roman" w:hAnsi="Times New Roman" w:cs="Times New Roman" w:hint="eastAsia"/>
          <w:sz w:val="24"/>
          <w:szCs w:val="24"/>
        </w:rPr>
        <w:t xml:space="preserve"> to record KRW 66.0tn. </w:t>
      </w:r>
      <w:r w:rsidR="00CD45B8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7049F6" w:rsidRPr="00A06DAB" w:rsidRDefault="007049F6" w:rsidP="007049F6">
      <w:pPr>
        <w:ind w:left="40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49F6" w:rsidRDefault="007049F6" w:rsidP="007049F6">
      <w:pPr>
        <w:pStyle w:val="a3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(Derivatives Funds) The NAV of d</w:t>
      </w:r>
      <w:r w:rsidR="00A41320">
        <w:rPr>
          <w:rFonts w:ascii="Times New Roman" w:hAnsi="Times New Roman" w:cs="Times New Roman" w:hint="eastAsia"/>
          <w:sz w:val="24"/>
          <w:szCs w:val="24"/>
        </w:rPr>
        <w:t xml:space="preserve">erivatives funds </w:t>
      </w:r>
      <w:r w:rsidR="00EE51B4">
        <w:rPr>
          <w:rFonts w:ascii="Times New Roman" w:hAnsi="Times New Roman" w:cs="Times New Roman" w:hint="eastAsia"/>
          <w:sz w:val="24"/>
          <w:szCs w:val="24"/>
        </w:rPr>
        <w:t>decreased</w:t>
      </w:r>
      <w:r w:rsidR="00A41320">
        <w:rPr>
          <w:rFonts w:ascii="Times New Roman" w:hAnsi="Times New Roman" w:cs="Times New Roman" w:hint="eastAsia"/>
          <w:sz w:val="24"/>
          <w:szCs w:val="24"/>
        </w:rPr>
        <w:t xml:space="preserve"> by KRW</w:t>
      </w:r>
      <w:r w:rsidR="00EE51B4">
        <w:rPr>
          <w:rFonts w:ascii="Times New Roman" w:hAnsi="Times New Roman" w:cs="Times New Roman" w:hint="eastAsia"/>
          <w:sz w:val="24"/>
          <w:szCs w:val="24"/>
        </w:rPr>
        <w:t>1</w:t>
      </w:r>
      <w:r w:rsidR="00A41320">
        <w:rPr>
          <w:rFonts w:ascii="Times New Roman" w:hAnsi="Times New Roman" w:cs="Times New Roman" w:hint="eastAsia"/>
          <w:sz w:val="24"/>
          <w:szCs w:val="24"/>
        </w:rPr>
        <w:t>.</w:t>
      </w:r>
      <w:r w:rsidR="00EE51B4">
        <w:rPr>
          <w:rFonts w:ascii="Times New Roman" w:hAnsi="Times New Roman" w:cs="Times New Roman" w:hint="eastAsia"/>
          <w:sz w:val="24"/>
          <w:szCs w:val="24"/>
        </w:rPr>
        <w:t>3</w:t>
      </w:r>
      <w:r w:rsidR="00A41320">
        <w:rPr>
          <w:rFonts w:ascii="Times New Roman" w:hAnsi="Times New Roman" w:cs="Times New Roman" w:hint="eastAsia"/>
          <w:sz w:val="24"/>
          <w:szCs w:val="24"/>
        </w:rPr>
        <w:t>tn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MoM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1320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EE51B4">
        <w:rPr>
          <w:rFonts w:ascii="Times New Roman" w:hAnsi="Times New Roman" w:cs="Times New Roman" w:hint="eastAsia"/>
          <w:sz w:val="24"/>
          <w:szCs w:val="24"/>
        </w:rPr>
        <w:t>post</w:t>
      </w:r>
      <w:r w:rsidR="00A41320">
        <w:rPr>
          <w:rFonts w:ascii="Times New Roman" w:hAnsi="Times New Roman" w:cs="Times New Roman" w:hint="eastAsia"/>
          <w:sz w:val="24"/>
          <w:szCs w:val="24"/>
        </w:rPr>
        <w:t xml:space="preserve"> KRW 3</w:t>
      </w:r>
      <w:r w:rsidR="00EE51B4">
        <w:rPr>
          <w:rFonts w:ascii="Times New Roman" w:hAnsi="Times New Roman" w:cs="Times New Roman" w:hint="eastAsia"/>
          <w:sz w:val="24"/>
          <w:szCs w:val="24"/>
        </w:rPr>
        <w:t>1</w:t>
      </w:r>
      <w:r w:rsidR="00A41320">
        <w:rPr>
          <w:rFonts w:ascii="Times New Roman" w:hAnsi="Times New Roman" w:cs="Times New Roman" w:hint="eastAsia"/>
          <w:sz w:val="24"/>
          <w:szCs w:val="24"/>
        </w:rPr>
        <w:t>.</w:t>
      </w:r>
      <w:r w:rsidR="00EE51B4">
        <w:rPr>
          <w:rFonts w:ascii="Times New Roman" w:hAnsi="Times New Roman" w:cs="Times New Roman" w:hint="eastAsia"/>
          <w:sz w:val="24"/>
          <w:szCs w:val="24"/>
        </w:rPr>
        <w:t>6</w:t>
      </w:r>
      <w:r>
        <w:rPr>
          <w:rFonts w:ascii="Times New Roman" w:hAnsi="Times New Roman" w:cs="Times New Roman" w:hint="eastAsia"/>
          <w:sz w:val="24"/>
          <w:szCs w:val="24"/>
        </w:rPr>
        <w:t xml:space="preserve">tn due to </w:t>
      </w:r>
      <w:r w:rsidR="00EE51B4">
        <w:rPr>
          <w:rFonts w:ascii="Times New Roman" w:hAnsi="Times New Roman" w:cs="Times New Roman" w:hint="eastAsia"/>
          <w:sz w:val="24"/>
          <w:szCs w:val="24"/>
        </w:rPr>
        <w:t>a decline</w:t>
      </w:r>
      <w:r>
        <w:rPr>
          <w:rFonts w:ascii="Times New Roman" w:hAnsi="Times New Roman" w:cs="Times New Roman" w:hint="eastAsia"/>
          <w:sz w:val="24"/>
          <w:szCs w:val="24"/>
        </w:rPr>
        <w:t xml:space="preserve"> in asset valuation. </w:t>
      </w:r>
    </w:p>
    <w:p w:rsidR="007049F6" w:rsidRDefault="007049F6" w:rsidP="007049F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49F6" w:rsidRDefault="007049F6" w:rsidP="007049F6">
      <w:pPr>
        <w:pStyle w:val="a3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(Real Estate Funds)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</w:rPr>
        <w:t xml:space="preserve"> NAV of real est</w:t>
      </w:r>
      <w:r w:rsidR="00D606F1">
        <w:rPr>
          <w:rFonts w:ascii="Times New Roman" w:hAnsi="Times New Roman" w:cs="Times New Roman" w:hint="eastAsia"/>
          <w:sz w:val="24"/>
          <w:szCs w:val="24"/>
        </w:rPr>
        <w:t xml:space="preserve">ate funds </w:t>
      </w:r>
      <w:r w:rsidR="009230AA">
        <w:rPr>
          <w:rFonts w:ascii="Times New Roman" w:hAnsi="Times New Roman" w:cs="Times New Roman" w:hint="eastAsia"/>
          <w:sz w:val="24"/>
          <w:szCs w:val="24"/>
        </w:rPr>
        <w:t>increased</w:t>
      </w:r>
      <w:r w:rsidR="00D606F1">
        <w:rPr>
          <w:rFonts w:ascii="Times New Roman" w:hAnsi="Times New Roman" w:cs="Times New Roman" w:hint="eastAsia"/>
          <w:sz w:val="24"/>
          <w:szCs w:val="24"/>
        </w:rPr>
        <w:t xml:space="preserve"> by KRW 0.</w:t>
      </w:r>
      <w:r w:rsidR="00EE51B4">
        <w:rPr>
          <w:rFonts w:ascii="Times New Roman" w:hAnsi="Times New Roman" w:cs="Times New Roman" w:hint="eastAsia"/>
          <w:sz w:val="24"/>
          <w:szCs w:val="24"/>
        </w:rPr>
        <w:t>32</w:t>
      </w:r>
      <w:r w:rsidR="00D606F1">
        <w:rPr>
          <w:rFonts w:ascii="Times New Roman" w:hAnsi="Times New Roman" w:cs="Times New Roman" w:hint="eastAsia"/>
          <w:sz w:val="24"/>
          <w:szCs w:val="24"/>
        </w:rPr>
        <w:t>tn</w:t>
      </w:r>
      <w:r>
        <w:rPr>
          <w:rFonts w:ascii="Times New Roman" w:hAnsi="Times New Roman" w:cs="Times New Roman" w:hint="eastAsia"/>
          <w:sz w:val="24"/>
          <w:szCs w:val="24"/>
        </w:rPr>
        <w:t xml:space="preserve"> from the </w:t>
      </w:r>
      <w:r w:rsidR="00D606F1">
        <w:rPr>
          <w:rFonts w:ascii="Times New Roman" w:hAnsi="Times New Roman" w:cs="Times New Roman" w:hint="eastAsia"/>
          <w:sz w:val="24"/>
          <w:szCs w:val="24"/>
        </w:rPr>
        <w:t xml:space="preserve">previous month to </w:t>
      </w:r>
      <w:r w:rsidR="00EE51B4">
        <w:rPr>
          <w:rFonts w:ascii="Times New Roman" w:hAnsi="Times New Roman" w:cs="Times New Roman" w:hint="eastAsia"/>
          <w:sz w:val="24"/>
          <w:szCs w:val="24"/>
        </w:rPr>
        <w:t>record</w:t>
      </w:r>
      <w:r w:rsidR="00D606F1">
        <w:rPr>
          <w:rFonts w:ascii="Times New Roman" w:hAnsi="Times New Roman" w:cs="Times New Roman" w:hint="eastAsia"/>
          <w:sz w:val="24"/>
          <w:szCs w:val="24"/>
        </w:rPr>
        <w:t xml:space="preserve"> KRW 20</w:t>
      </w:r>
      <w:r w:rsidR="00EE51B4">
        <w:rPr>
          <w:rFonts w:ascii="Times New Roman" w:hAnsi="Times New Roman" w:cs="Times New Roman" w:hint="eastAsia"/>
          <w:sz w:val="24"/>
          <w:szCs w:val="24"/>
        </w:rPr>
        <w:t>.7</w:t>
      </w:r>
      <w:r>
        <w:rPr>
          <w:rFonts w:ascii="Times New Roman" w:hAnsi="Times New Roman" w:cs="Times New Roman" w:hint="eastAsia"/>
          <w:sz w:val="24"/>
          <w:szCs w:val="24"/>
        </w:rPr>
        <w:t>tn</w:t>
      </w:r>
      <w:r w:rsidR="009230AA">
        <w:rPr>
          <w:rFonts w:ascii="Times New Roman" w:hAnsi="Times New Roman" w:cs="Times New Roman" w:hint="eastAsia"/>
          <w:sz w:val="24"/>
          <w:szCs w:val="24"/>
        </w:rPr>
        <w:t xml:space="preserve"> due to</w:t>
      </w:r>
      <w:r>
        <w:rPr>
          <w:rFonts w:ascii="Times New Roman" w:hAnsi="Times New Roman" w:cs="Times New Roman" w:hint="eastAsia"/>
          <w:sz w:val="24"/>
          <w:szCs w:val="24"/>
        </w:rPr>
        <w:t xml:space="preserve"> a net </w:t>
      </w:r>
      <w:r w:rsidR="00D606F1">
        <w:rPr>
          <w:rFonts w:ascii="Times New Roman" w:hAnsi="Times New Roman" w:cs="Times New Roman" w:hint="eastAsia"/>
          <w:sz w:val="24"/>
          <w:szCs w:val="24"/>
        </w:rPr>
        <w:t>inflow of KRW 0.</w:t>
      </w:r>
      <w:r w:rsidR="00EE51B4">
        <w:rPr>
          <w:rFonts w:ascii="Times New Roman" w:hAnsi="Times New Roman" w:cs="Times New Roman" w:hint="eastAsia"/>
          <w:sz w:val="24"/>
          <w:szCs w:val="24"/>
        </w:rPr>
        <w:t>2</w:t>
      </w:r>
      <w:r w:rsidR="00D606F1"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n</w:t>
      </w:r>
      <w:r w:rsidR="00D606F1"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7049F6" w:rsidRPr="009210D2" w:rsidRDefault="007049F6" w:rsidP="007049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9F6" w:rsidRDefault="007049F6" w:rsidP="007049F6">
      <w:pPr>
        <w:pStyle w:val="a3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(Special Assets Funds) </w:t>
      </w:r>
      <w:r w:rsidR="009230AA">
        <w:rPr>
          <w:rFonts w:ascii="Times New Roman" w:hAnsi="Times New Roman" w:cs="Times New Roman" w:hint="eastAsia"/>
          <w:sz w:val="24"/>
          <w:szCs w:val="24"/>
        </w:rPr>
        <w:t xml:space="preserve">Driven by a net </w:t>
      </w:r>
      <w:r w:rsidR="009230AA">
        <w:rPr>
          <w:rFonts w:ascii="Times New Roman" w:hAnsi="Times New Roman" w:cs="Times New Roman"/>
          <w:sz w:val="24"/>
          <w:szCs w:val="24"/>
        </w:rPr>
        <w:t>inflow</w:t>
      </w:r>
      <w:r w:rsidR="009230AA">
        <w:rPr>
          <w:rFonts w:ascii="Times New Roman" w:hAnsi="Times New Roman" w:cs="Times New Roman" w:hint="eastAsia"/>
          <w:sz w:val="24"/>
          <w:szCs w:val="24"/>
        </w:rPr>
        <w:t xml:space="preserve"> of KRW 173bn, t</w:t>
      </w:r>
      <w:r>
        <w:rPr>
          <w:rFonts w:ascii="Times New Roman" w:hAnsi="Times New Roman" w:cs="Times New Roman" w:hint="eastAsia"/>
          <w:sz w:val="24"/>
          <w:szCs w:val="24"/>
        </w:rPr>
        <w:t>he NAV of special a</w:t>
      </w:r>
      <w:r w:rsidR="00D606F1">
        <w:rPr>
          <w:rFonts w:ascii="Times New Roman" w:hAnsi="Times New Roman" w:cs="Times New Roman" w:hint="eastAsia"/>
          <w:sz w:val="24"/>
          <w:szCs w:val="24"/>
        </w:rPr>
        <w:t>ssets funds increased by KRW 1</w:t>
      </w:r>
      <w:r w:rsidR="00EE51B4">
        <w:rPr>
          <w:rFonts w:ascii="Times New Roman" w:hAnsi="Times New Roman" w:cs="Times New Roman" w:hint="eastAsia"/>
          <w:sz w:val="24"/>
          <w:szCs w:val="24"/>
        </w:rPr>
        <w:t>65</w:t>
      </w:r>
      <w:r w:rsidR="00D606F1">
        <w:rPr>
          <w:rFonts w:ascii="Times New Roman" w:hAnsi="Times New Roman" w:cs="Times New Roman" w:hint="eastAsia"/>
          <w:sz w:val="24"/>
          <w:szCs w:val="24"/>
        </w:rPr>
        <w:t xml:space="preserve">bn </w:t>
      </w:r>
      <w:proofErr w:type="spellStart"/>
      <w:r w:rsidR="00D606F1">
        <w:rPr>
          <w:rFonts w:ascii="Times New Roman" w:hAnsi="Times New Roman" w:cs="Times New Roman" w:hint="eastAsia"/>
          <w:sz w:val="24"/>
          <w:szCs w:val="24"/>
        </w:rPr>
        <w:t>MoM</w:t>
      </w:r>
      <w:proofErr w:type="spellEnd"/>
      <w:r w:rsidR="00D606F1">
        <w:rPr>
          <w:rFonts w:ascii="Times New Roman" w:hAnsi="Times New Roman" w:cs="Times New Roman" w:hint="eastAsia"/>
          <w:sz w:val="24"/>
          <w:szCs w:val="24"/>
        </w:rPr>
        <w:t xml:space="preserve"> to reach KRW 2</w:t>
      </w:r>
      <w:r w:rsidR="00EE51B4">
        <w:rPr>
          <w:rFonts w:ascii="Times New Roman" w:hAnsi="Times New Roman" w:cs="Times New Roman" w:hint="eastAsia"/>
          <w:sz w:val="24"/>
          <w:szCs w:val="24"/>
        </w:rPr>
        <w:t>3</w:t>
      </w:r>
      <w:r w:rsidR="00D606F1">
        <w:rPr>
          <w:rFonts w:ascii="Times New Roman" w:hAnsi="Times New Roman" w:cs="Times New Roman" w:hint="eastAsia"/>
          <w:sz w:val="24"/>
          <w:szCs w:val="24"/>
        </w:rPr>
        <w:t>.</w:t>
      </w:r>
      <w:r w:rsidR="00EE51B4">
        <w:rPr>
          <w:rFonts w:ascii="Times New Roman" w:hAnsi="Times New Roman" w:cs="Times New Roman" w:hint="eastAsia"/>
          <w:sz w:val="24"/>
          <w:szCs w:val="24"/>
        </w:rPr>
        <w:t>0</w:t>
      </w:r>
      <w:r>
        <w:rPr>
          <w:rFonts w:ascii="Times New Roman" w:hAnsi="Times New Roman" w:cs="Times New Roman" w:hint="eastAsia"/>
          <w:sz w:val="24"/>
          <w:szCs w:val="24"/>
        </w:rPr>
        <w:t>tn.</w:t>
      </w:r>
    </w:p>
    <w:p w:rsidR="007049F6" w:rsidRPr="009230AA" w:rsidRDefault="007049F6" w:rsidP="007049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9F6" w:rsidRPr="00233FC7" w:rsidRDefault="007049F6" w:rsidP="00233FC7">
      <w:pPr>
        <w:pStyle w:val="a3"/>
        <w:numPr>
          <w:ilvl w:val="0"/>
          <w:numId w:val="12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233FC7">
        <w:rPr>
          <w:rFonts w:ascii="Times New Roman" w:hAnsi="Times New Roman" w:cs="Times New Roman" w:hint="eastAsia"/>
          <w:sz w:val="24"/>
          <w:szCs w:val="24"/>
        </w:rPr>
        <w:t xml:space="preserve">The NAV of other funds overall </w:t>
      </w:r>
      <w:r w:rsidR="00E75366" w:rsidRPr="00233FC7">
        <w:rPr>
          <w:rFonts w:ascii="Times New Roman" w:hAnsi="Times New Roman" w:cs="Times New Roman" w:hint="eastAsia"/>
          <w:sz w:val="24"/>
          <w:szCs w:val="24"/>
        </w:rPr>
        <w:t>decreased slightly</w:t>
      </w:r>
      <w:r w:rsidR="004D16AE" w:rsidRPr="00233FC7">
        <w:rPr>
          <w:rFonts w:ascii="Times New Roman" w:hAnsi="Times New Roman" w:cs="Times New Roman" w:hint="eastAsia"/>
          <w:sz w:val="24"/>
          <w:szCs w:val="24"/>
        </w:rPr>
        <w:t xml:space="preserve"> by KRW </w:t>
      </w:r>
      <w:r w:rsidR="00E75366" w:rsidRPr="00233FC7">
        <w:rPr>
          <w:rFonts w:ascii="Times New Roman" w:hAnsi="Times New Roman" w:cs="Times New Roman" w:hint="eastAsia"/>
          <w:sz w:val="24"/>
          <w:szCs w:val="24"/>
        </w:rPr>
        <w:t>57bn</w:t>
      </w:r>
      <w:r w:rsidRPr="00233FC7">
        <w:rPr>
          <w:rFonts w:ascii="Times New Roman" w:hAnsi="Times New Roman" w:cs="Times New Roman" w:hint="eastAsia"/>
          <w:sz w:val="24"/>
          <w:szCs w:val="24"/>
        </w:rPr>
        <w:t xml:space="preserve"> from th</w:t>
      </w:r>
      <w:r w:rsidR="004D16AE" w:rsidRPr="00233FC7">
        <w:rPr>
          <w:rFonts w:ascii="Times New Roman" w:hAnsi="Times New Roman" w:cs="Times New Roman" w:hint="eastAsia"/>
          <w:sz w:val="24"/>
          <w:szCs w:val="24"/>
        </w:rPr>
        <w:t xml:space="preserve">e previous month to </w:t>
      </w:r>
      <w:r w:rsidR="00E75366" w:rsidRPr="00233FC7">
        <w:rPr>
          <w:rFonts w:ascii="Times New Roman" w:hAnsi="Times New Roman" w:cs="Times New Roman" w:hint="eastAsia"/>
          <w:sz w:val="24"/>
          <w:szCs w:val="24"/>
        </w:rPr>
        <w:t>record</w:t>
      </w:r>
      <w:r w:rsidR="004D16AE" w:rsidRPr="00233FC7">
        <w:rPr>
          <w:rFonts w:ascii="Times New Roman" w:hAnsi="Times New Roman" w:cs="Times New Roman" w:hint="eastAsia"/>
          <w:sz w:val="24"/>
          <w:szCs w:val="24"/>
        </w:rPr>
        <w:t xml:space="preserve"> KRW 85</w:t>
      </w:r>
      <w:r w:rsidRPr="00233FC7">
        <w:rPr>
          <w:rFonts w:ascii="Times New Roman" w:hAnsi="Times New Roman" w:cs="Times New Roman" w:hint="eastAsia"/>
          <w:sz w:val="24"/>
          <w:szCs w:val="24"/>
        </w:rPr>
        <w:t>.</w:t>
      </w:r>
      <w:r w:rsidR="00E75366" w:rsidRPr="00233FC7">
        <w:rPr>
          <w:rFonts w:ascii="Times New Roman" w:hAnsi="Times New Roman" w:cs="Times New Roman" w:hint="eastAsia"/>
          <w:sz w:val="24"/>
          <w:szCs w:val="24"/>
        </w:rPr>
        <w:t>58</w:t>
      </w:r>
      <w:r w:rsidRPr="00233FC7">
        <w:rPr>
          <w:rFonts w:ascii="Times New Roman" w:hAnsi="Times New Roman" w:cs="Times New Roman" w:hint="eastAsia"/>
          <w:sz w:val="24"/>
          <w:szCs w:val="24"/>
        </w:rPr>
        <w:t>tn.</w:t>
      </w:r>
    </w:p>
    <w:p w:rsidR="007049F6" w:rsidRDefault="007049F6" w:rsidP="007049F6">
      <w:pPr>
        <w:jc w:val="left"/>
        <w:rPr>
          <w:rFonts w:ascii="Times New Roman" w:hAnsi="Times New Roman" w:cs="Times New Roman"/>
          <w:sz w:val="24"/>
          <w:szCs w:val="24"/>
        </w:rPr>
      </w:pPr>
      <w:r w:rsidRPr="009316FF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2707E2" w:rsidRDefault="002707E2" w:rsidP="007049F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707E2" w:rsidRDefault="002707E2" w:rsidP="007049F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D6A73" w:rsidRPr="00BC79A5" w:rsidRDefault="00AD6A73" w:rsidP="00AD6A73">
      <w:pPr>
        <w:widowControl/>
        <w:wordWrap/>
        <w:autoSpaceDE/>
        <w:autoSpaceDN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5D7">
        <w:rPr>
          <w:rFonts w:ascii="Times New Roman" w:hAnsi="Times New Roman" w:cs="Times New Roman" w:hint="eastAsia"/>
          <w:b/>
          <w:sz w:val="24"/>
        </w:rPr>
        <w:t>[NAV Changes and Fund Flow by Fund Type]</w:t>
      </w:r>
    </w:p>
    <w:p w:rsidR="00AD6A73" w:rsidRPr="00290843" w:rsidRDefault="00AD6A73" w:rsidP="00AD6A73">
      <w:pPr>
        <w:jc w:val="right"/>
        <w:rPr>
          <w:rFonts w:ascii="Times New Roman" w:hAnsi="Times New Roman" w:cs="Times New Roman"/>
          <w:sz w:val="16"/>
          <w:szCs w:val="16"/>
        </w:rPr>
      </w:pPr>
      <w:r w:rsidRPr="00290843">
        <w:rPr>
          <w:rFonts w:ascii="Times New Roman" w:hAnsi="Times New Roman" w:cs="Times New Roman" w:hint="eastAsia"/>
          <w:sz w:val="16"/>
          <w:szCs w:val="16"/>
        </w:rPr>
        <w:t xml:space="preserve"> (Unit: KRW </w:t>
      </w:r>
      <w:proofErr w:type="spellStart"/>
      <w:r w:rsidRPr="00290843">
        <w:rPr>
          <w:rFonts w:ascii="Times New Roman" w:hAnsi="Times New Roman" w:cs="Times New Roman" w:hint="eastAsia"/>
          <w:sz w:val="16"/>
          <w:szCs w:val="16"/>
        </w:rPr>
        <w:t>bn</w:t>
      </w:r>
      <w:proofErr w:type="spellEnd"/>
      <w:r w:rsidRPr="00290843">
        <w:rPr>
          <w:rFonts w:ascii="Times New Roman" w:hAnsi="Times New Roman" w:cs="Times New Roman" w:hint="eastAsia"/>
          <w:sz w:val="16"/>
          <w:szCs w:val="16"/>
        </w:rPr>
        <w:t>)</w:t>
      </w:r>
    </w:p>
    <w:tbl>
      <w:tblPr>
        <w:tblStyle w:val="a4"/>
        <w:tblW w:w="5000" w:type="pct"/>
        <w:jc w:val="center"/>
        <w:tblInd w:w="840" w:type="dxa"/>
        <w:tblLook w:val="04A0"/>
      </w:tblPr>
      <w:tblGrid>
        <w:gridCol w:w="1508"/>
        <w:gridCol w:w="923"/>
        <w:gridCol w:w="1134"/>
        <w:gridCol w:w="1134"/>
        <w:gridCol w:w="1138"/>
        <w:gridCol w:w="1136"/>
        <w:gridCol w:w="1137"/>
        <w:gridCol w:w="1132"/>
      </w:tblGrid>
      <w:tr w:rsidR="00AD6A73" w:rsidRPr="007E7D97" w:rsidTr="00BE0530">
        <w:trPr>
          <w:trHeight w:val="367"/>
          <w:jc w:val="center"/>
        </w:trPr>
        <w:tc>
          <w:tcPr>
            <w:tcW w:w="826" w:type="pct"/>
            <w:vMerge w:val="restart"/>
            <w:shd w:val="clear" w:color="auto" w:fill="4F6228" w:themeFill="accent3" w:themeFillShade="80"/>
            <w:vAlign w:val="center"/>
          </w:tcPr>
          <w:p w:rsidR="00AD6A73" w:rsidRPr="004B3E71" w:rsidRDefault="00AD6A73" w:rsidP="00BE0530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Cs w:val="20"/>
              </w:rPr>
            </w:pPr>
            <w:r w:rsidRPr="004B3E71">
              <w:rPr>
                <w:rFonts w:ascii="Calibri" w:hAnsi="Calibri" w:cs="Times New Roman"/>
                <w:b/>
                <w:color w:val="FFFFFF" w:themeColor="background1"/>
                <w:szCs w:val="20"/>
              </w:rPr>
              <w:t>Fund Type</w:t>
            </w:r>
          </w:p>
        </w:tc>
        <w:tc>
          <w:tcPr>
            <w:tcW w:w="428" w:type="pct"/>
            <w:vMerge w:val="restart"/>
            <w:shd w:val="clear" w:color="auto" w:fill="4F6228" w:themeFill="accent3" w:themeFillShade="80"/>
            <w:vAlign w:val="center"/>
          </w:tcPr>
          <w:p w:rsidR="00AD6A73" w:rsidRPr="004B3E71" w:rsidRDefault="00AD6A73" w:rsidP="00BE0530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Cs w:val="20"/>
              </w:rPr>
            </w:pPr>
            <w:r w:rsidRPr="004B3E71">
              <w:rPr>
                <w:rFonts w:ascii="Calibri" w:hAnsi="Calibri" w:cs="Times New Roman" w:hint="eastAsia"/>
                <w:b/>
                <w:color w:val="FFFFFF" w:themeColor="background1"/>
                <w:szCs w:val="20"/>
              </w:rPr>
              <w:t>NAV</w:t>
            </w:r>
          </w:p>
          <w:p w:rsidR="00AD6A73" w:rsidRPr="004B3E71" w:rsidRDefault="00AD6A73" w:rsidP="00AD6A73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Cs w:val="20"/>
              </w:rPr>
            </w:pPr>
            <w:r w:rsidRPr="004B3E71">
              <w:rPr>
                <w:rFonts w:ascii="Calibri" w:hAnsi="Calibri" w:cs="Times New Roman" w:hint="eastAsia"/>
                <w:b/>
                <w:color w:val="FFFFFF" w:themeColor="background1"/>
                <w:szCs w:val="20"/>
              </w:rPr>
              <w:t xml:space="preserve">(End of </w:t>
            </w:r>
            <w:r>
              <w:rPr>
                <w:rFonts w:ascii="Calibri" w:hAnsi="Calibri" w:cs="Times New Roman" w:hint="eastAsia"/>
                <w:b/>
                <w:color w:val="FFFFFF" w:themeColor="background1"/>
                <w:szCs w:val="20"/>
              </w:rPr>
              <w:t>Mar</w:t>
            </w:r>
            <w:r w:rsidRPr="004B3E71">
              <w:rPr>
                <w:rFonts w:ascii="Calibri" w:hAnsi="Calibri" w:cs="Times New Roman" w:hint="eastAsia"/>
                <w:b/>
                <w:color w:val="FFFFFF" w:themeColor="background1"/>
                <w:szCs w:val="20"/>
              </w:rPr>
              <w:t xml:space="preserve"> </w:t>
            </w:r>
            <w:r w:rsidRPr="004B3E71">
              <w:rPr>
                <w:rFonts w:ascii="Calibri" w:hAnsi="Calibri" w:cs="Times New Roman"/>
                <w:b/>
                <w:color w:val="FFFFFF" w:themeColor="background1"/>
                <w:szCs w:val="20"/>
              </w:rPr>
              <w:t>’</w:t>
            </w:r>
            <w:r w:rsidRPr="004B3E71">
              <w:rPr>
                <w:rFonts w:ascii="Calibri" w:hAnsi="Calibri" w:cs="Times New Roman" w:hint="eastAsia"/>
                <w:b/>
                <w:color w:val="FFFFFF" w:themeColor="background1"/>
                <w:szCs w:val="20"/>
              </w:rPr>
              <w:t>13)</w:t>
            </w:r>
          </w:p>
        </w:tc>
        <w:tc>
          <w:tcPr>
            <w:tcW w:w="1874" w:type="pct"/>
            <w:gridSpan w:val="3"/>
            <w:tcBorders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:rsidR="00AD6A73" w:rsidRPr="004B3E71" w:rsidRDefault="00AD6A73" w:rsidP="00BE0530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Cs w:val="20"/>
              </w:rPr>
            </w:pPr>
            <w:r w:rsidRPr="004B3E71">
              <w:rPr>
                <w:rFonts w:ascii="Calibri" w:hAnsi="Calibri" w:cs="Times New Roman" w:hint="eastAsia"/>
                <w:b/>
                <w:color w:val="FFFFFF" w:themeColor="background1"/>
                <w:szCs w:val="20"/>
              </w:rPr>
              <w:t>Fund Flow</w:t>
            </w:r>
          </w:p>
        </w:tc>
        <w:tc>
          <w:tcPr>
            <w:tcW w:w="625" w:type="pct"/>
            <w:vMerge w:val="restart"/>
            <w:shd w:val="clear" w:color="auto" w:fill="4F6228" w:themeFill="accent3" w:themeFillShade="80"/>
            <w:vAlign w:val="center"/>
          </w:tcPr>
          <w:p w:rsidR="00AD6A73" w:rsidRPr="004B3E71" w:rsidRDefault="00AD6A73" w:rsidP="00BE0530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Cs w:val="20"/>
              </w:rPr>
            </w:pPr>
            <w:r w:rsidRPr="004B3E71">
              <w:rPr>
                <w:rFonts w:ascii="Calibri" w:hAnsi="Calibri" w:cs="Times New Roman" w:hint="eastAsia"/>
                <w:b/>
                <w:color w:val="FFFFFF" w:themeColor="background1"/>
                <w:szCs w:val="20"/>
              </w:rPr>
              <w:t>Valuation</w:t>
            </w:r>
          </w:p>
          <w:p w:rsidR="00AD6A73" w:rsidRPr="004B3E71" w:rsidRDefault="00AD6A73" w:rsidP="00BE0530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Cs w:val="20"/>
              </w:rPr>
            </w:pPr>
            <w:r w:rsidRPr="004B3E71">
              <w:rPr>
                <w:rFonts w:ascii="Calibri" w:hAnsi="Calibri" w:cs="Times New Roman" w:hint="eastAsia"/>
                <w:b/>
                <w:color w:val="FFFFFF" w:themeColor="background1"/>
                <w:szCs w:val="20"/>
              </w:rPr>
              <w:t>Change</w:t>
            </w:r>
          </w:p>
        </w:tc>
        <w:tc>
          <w:tcPr>
            <w:tcW w:w="625" w:type="pct"/>
            <w:vMerge w:val="restart"/>
            <w:shd w:val="clear" w:color="auto" w:fill="4F6228" w:themeFill="accent3" w:themeFillShade="80"/>
            <w:vAlign w:val="center"/>
          </w:tcPr>
          <w:p w:rsidR="00AD6A73" w:rsidRPr="004B3E71" w:rsidRDefault="00AD6A73" w:rsidP="00BE0530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Cs w:val="20"/>
              </w:rPr>
            </w:pPr>
            <w:r w:rsidRPr="004B3E71">
              <w:rPr>
                <w:rFonts w:ascii="Calibri" w:hAnsi="Calibri" w:cs="Times New Roman" w:hint="eastAsia"/>
                <w:b/>
                <w:color w:val="FFFFFF" w:themeColor="background1"/>
                <w:szCs w:val="20"/>
              </w:rPr>
              <w:t>NAV</w:t>
            </w:r>
          </w:p>
          <w:p w:rsidR="00AD6A73" w:rsidRPr="004B3E71" w:rsidRDefault="00AD6A73" w:rsidP="00BE0530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Cs w:val="20"/>
              </w:rPr>
            </w:pPr>
            <w:r w:rsidRPr="004B3E71">
              <w:rPr>
                <w:rFonts w:ascii="Calibri" w:hAnsi="Calibri" w:cs="Times New Roman" w:hint="eastAsia"/>
                <w:b/>
                <w:color w:val="FFFFFF" w:themeColor="background1"/>
                <w:szCs w:val="20"/>
              </w:rPr>
              <w:t>Change</w:t>
            </w:r>
          </w:p>
        </w:tc>
        <w:tc>
          <w:tcPr>
            <w:tcW w:w="623" w:type="pct"/>
            <w:vMerge w:val="restart"/>
            <w:shd w:val="clear" w:color="auto" w:fill="4F6228" w:themeFill="accent3" w:themeFillShade="80"/>
            <w:vAlign w:val="center"/>
          </w:tcPr>
          <w:p w:rsidR="00AD6A73" w:rsidRPr="004B3E71" w:rsidRDefault="00AD6A73" w:rsidP="00BE0530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Cs w:val="20"/>
              </w:rPr>
            </w:pPr>
            <w:r w:rsidRPr="004B3E71">
              <w:rPr>
                <w:rFonts w:ascii="Calibri" w:hAnsi="Calibri" w:cs="Times New Roman" w:hint="eastAsia"/>
                <w:b/>
                <w:color w:val="FFFFFF" w:themeColor="background1"/>
                <w:szCs w:val="20"/>
              </w:rPr>
              <w:t>NAV</w:t>
            </w:r>
          </w:p>
          <w:p w:rsidR="00AD6A73" w:rsidRPr="004B3E71" w:rsidRDefault="00AD6A73" w:rsidP="00BE0530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Cs w:val="20"/>
              </w:rPr>
            </w:pPr>
            <w:r w:rsidRPr="004B3E71">
              <w:rPr>
                <w:rFonts w:ascii="Calibri" w:hAnsi="Calibri" w:cs="Times New Roman" w:hint="eastAsia"/>
                <w:b/>
                <w:color w:val="FFFFFF" w:themeColor="background1"/>
                <w:szCs w:val="20"/>
              </w:rPr>
              <w:t xml:space="preserve">(End of Mar </w:t>
            </w:r>
            <w:r w:rsidRPr="004B3E71">
              <w:rPr>
                <w:rFonts w:ascii="Calibri" w:hAnsi="Calibri" w:cs="Times New Roman"/>
                <w:b/>
                <w:color w:val="FFFFFF" w:themeColor="background1"/>
                <w:szCs w:val="20"/>
              </w:rPr>
              <w:t>’</w:t>
            </w:r>
            <w:r w:rsidRPr="004B3E71">
              <w:rPr>
                <w:rFonts w:ascii="Calibri" w:hAnsi="Calibri" w:cs="Times New Roman" w:hint="eastAsia"/>
                <w:b/>
                <w:color w:val="FFFFFF" w:themeColor="background1"/>
                <w:szCs w:val="20"/>
              </w:rPr>
              <w:t>13)</w:t>
            </w:r>
          </w:p>
        </w:tc>
      </w:tr>
      <w:tr w:rsidR="00AD6A73" w:rsidRPr="007E7D97" w:rsidTr="00BE0530">
        <w:trPr>
          <w:trHeight w:val="367"/>
          <w:jc w:val="center"/>
        </w:trPr>
        <w:tc>
          <w:tcPr>
            <w:tcW w:w="826" w:type="pct"/>
            <w:vMerge/>
            <w:tcBorders>
              <w:bottom w:val="single" w:sz="4" w:space="0" w:color="auto"/>
            </w:tcBorders>
          </w:tcPr>
          <w:p w:rsidR="00AD6A73" w:rsidRPr="007E7D97" w:rsidRDefault="00AD6A73" w:rsidP="00BE0530">
            <w:pPr>
              <w:jc w:val="center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428" w:type="pct"/>
            <w:vMerge/>
          </w:tcPr>
          <w:p w:rsidR="00AD6A73" w:rsidRPr="007E7D97" w:rsidRDefault="00AD6A73" w:rsidP="00BE0530">
            <w:pPr>
              <w:jc w:val="center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624" w:type="pct"/>
            <w:shd w:val="clear" w:color="auto" w:fill="4F6228" w:themeFill="accent3" w:themeFillShade="80"/>
            <w:vAlign w:val="center"/>
          </w:tcPr>
          <w:p w:rsidR="00AD6A73" w:rsidRPr="004B3E71" w:rsidRDefault="00AD6A73" w:rsidP="00BE0530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Cs w:val="20"/>
              </w:rPr>
            </w:pPr>
            <w:r w:rsidRPr="004B3E71">
              <w:rPr>
                <w:rFonts w:ascii="Calibri" w:hAnsi="Calibri" w:cs="Times New Roman" w:hint="eastAsia"/>
                <w:b/>
                <w:color w:val="FFFFFF" w:themeColor="background1"/>
                <w:szCs w:val="20"/>
              </w:rPr>
              <w:t>Inflow</w:t>
            </w:r>
          </w:p>
        </w:tc>
        <w:tc>
          <w:tcPr>
            <w:tcW w:w="624" w:type="pct"/>
            <w:shd w:val="clear" w:color="auto" w:fill="4F6228" w:themeFill="accent3" w:themeFillShade="80"/>
            <w:vAlign w:val="center"/>
          </w:tcPr>
          <w:p w:rsidR="00AD6A73" w:rsidRPr="004B3E71" w:rsidRDefault="00AD6A73" w:rsidP="00BE0530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Cs w:val="20"/>
              </w:rPr>
            </w:pPr>
            <w:r w:rsidRPr="004B3E71">
              <w:rPr>
                <w:rFonts w:ascii="Calibri" w:hAnsi="Calibri" w:cs="Times New Roman" w:hint="eastAsia"/>
                <w:b/>
                <w:color w:val="FFFFFF" w:themeColor="background1"/>
                <w:szCs w:val="20"/>
              </w:rPr>
              <w:t>Outflow</w:t>
            </w:r>
          </w:p>
        </w:tc>
        <w:tc>
          <w:tcPr>
            <w:tcW w:w="625" w:type="pct"/>
            <w:shd w:val="clear" w:color="auto" w:fill="4F6228" w:themeFill="accent3" w:themeFillShade="80"/>
            <w:vAlign w:val="center"/>
          </w:tcPr>
          <w:p w:rsidR="00AD6A73" w:rsidRPr="004B3E71" w:rsidRDefault="00AD6A73" w:rsidP="00BE0530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Cs w:val="20"/>
              </w:rPr>
            </w:pPr>
            <w:r w:rsidRPr="004B3E71">
              <w:rPr>
                <w:rFonts w:ascii="Calibri" w:hAnsi="Calibri" w:cs="Times New Roman" w:hint="eastAsia"/>
                <w:b/>
                <w:color w:val="FFFFFF" w:themeColor="background1"/>
                <w:szCs w:val="20"/>
              </w:rPr>
              <w:t>Change</w:t>
            </w:r>
          </w:p>
        </w:tc>
        <w:tc>
          <w:tcPr>
            <w:tcW w:w="625" w:type="pct"/>
            <w:vMerge/>
          </w:tcPr>
          <w:p w:rsidR="00AD6A73" w:rsidRPr="007E7D97" w:rsidRDefault="00AD6A73" w:rsidP="00BE0530">
            <w:pPr>
              <w:jc w:val="center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625" w:type="pct"/>
            <w:vMerge/>
          </w:tcPr>
          <w:p w:rsidR="00AD6A73" w:rsidRPr="007E7D97" w:rsidRDefault="00AD6A73" w:rsidP="00BE0530">
            <w:pPr>
              <w:jc w:val="center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623" w:type="pct"/>
            <w:vMerge/>
          </w:tcPr>
          <w:p w:rsidR="00AD6A73" w:rsidRPr="007E7D97" w:rsidRDefault="00AD6A73" w:rsidP="00BE0530">
            <w:pPr>
              <w:jc w:val="center"/>
              <w:rPr>
                <w:rFonts w:ascii="Calibri" w:hAnsi="Calibri" w:cs="Times New Roman"/>
                <w:sz w:val="22"/>
              </w:rPr>
            </w:pPr>
          </w:p>
        </w:tc>
      </w:tr>
      <w:tr w:rsidR="00AD6A73" w:rsidRPr="00C61204" w:rsidTr="00BE0530">
        <w:trPr>
          <w:trHeight w:val="409"/>
          <w:jc w:val="center"/>
        </w:trPr>
        <w:tc>
          <w:tcPr>
            <w:tcW w:w="826" w:type="pc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D6A73" w:rsidRPr="00C61204" w:rsidRDefault="00AD6A73" w:rsidP="00BE0530">
            <w:pPr>
              <w:rPr>
                <w:rFonts w:ascii="Calibri" w:hAnsi="Calibri" w:cs="Times New Roman"/>
                <w:sz w:val="18"/>
                <w:szCs w:val="18"/>
              </w:rPr>
            </w:pPr>
            <w:r w:rsidRPr="00C61204">
              <w:rPr>
                <w:rFonts w:ascii="Calibri" w:hAnsi="Calibri" w:cs="Times New Roman"/>
                <w:sz w:val="18"/>
                <w:szCs w:val="18"/>
              </w:rPr>
              <w:t>Securities</w:t>
            </w:r>
            <w:r>
              <w:rPr>
                <w:rFonts w:ascii="Calibri" w:hAnsi="Calibri" w:cs="Times New Roman" w:hint="eastAsia"/>
                <w:sz w:val="18"/>
                <w:szCs w:val="18"/>
              </w:rPr>
              <w:t xml:space="preserve"> (A)</w:t>
            </w:r>
          </w:p>
        </w:tc>
        <w:tc>
          <w:tcPr>
            <w:tcW w:w="428" w:type="pct"/>
            <w:vAlign w:val="bottom"/>
          </w:tcPr>
          <w:p w:rsidR="00AD6A73" w:rsidRPr="00E07233" w:rsidRDefault="00AD6A73" w:rsidP="00AD6A73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 w:rsidRPr="00E07233">
              <w:rPr>
                <w:rFonts w:ascii="Calibri" w:hAnsi="Calibri" w:cs="Times New Roman"/>
                <w:sz w:val="18"/>
                <w:szCs w:val="18"/>
              </w:rPr>
              <w:t>16</w:t>
            </w:r>
            <w:r>
              <w:rPr>
                <w:rFonts w:ascii="Calibri" w:hAnsi="Calibri" w:cs="Times New Roman" w:hint="eastAsia"/>
                <w:sz w:val="18"/>
                <w:szCs w:val="18"/>
              </w:rPr>
              <w:t>5</w:t>
            </w:r>
            <w:r w:rsidRPr="00E07233">
              <w:rPr>
                <w:rFonts w:ascii="Calibri" w:hAnsi="Calibri" w:cs="Times New Roman"/>
                <w:sz w:val="18"/>
                <w:szCs w:val="18"/>
              </w:rPr>
              <w:t>,</w:t>
            </w:r>
            <w:r>
              <w:rPr>
                <w:rFonts w:ascii="Calibri" w:hAnsi="Calibri" w:cs="Times New Roman" w:hint="eastAsia"/>
                <w:sz w:val="18"/>
                <w:szCs w:val="18"/>
              </w:rPr>
              <w:t>507</w:t>
            </w:r>
          </w:p>
        </w:tc>
        <w:tc>
          <w:tcPr>
            <w:tcW w:w="624" w:type="pct"/>
            <w:vAlign w:val="bottom"/>
          </w:tcPr>
          <w:p w:rsidR="00AD6A73" w:rsidRPr="00E07233" w:rsidRDefault="00AD6A73" w:rsidP="00AD6A73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9</w:t>
            </w:r>
            <w:r w:rsidRPr="00E07233">
              <w:rPr>
                <w:rFonts w:ascii="Calibri" w:hAnsi="Calibri" w:cs="Times New Roman"/>
                <w:sz w:val="18"/>
                <w:szCs w:val="18"/>
              </w:rPr>
              <w:t>,</w:t>
            </w:r>
            <w:r>
              <w:rPr>
                <w:rFonts w:ascii="Calibri" w:hAnsi="Calibri" w:cs="Times New Roman" w:hint="eastAsia"/>
                <w:sz w:val="18"/>
                <w:szCs w:val="18"/>
              </w:rPr>
              <w:t>859</w:t>
            </w:r>
          </w:p>
        </w:tc>
        <w:tc>
          <w:tcPr>
            <w:tcW w:w="624" w:type="pct"/>
            <w:vAlign w:val="bottom"/>
          </w:tcPr>
          <w:p w:rsidR="00AD6A73" w:rsidRPr="00E07233" w:rsidRDefault="00AD6A73" w:rsidP="00AD6A73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6</w:t>
            </w:r>
            <w:r w:rsidRPr="00E07233">
              <w:rPr>
                <w:rFonts w:ascii="Calibri" w:hAnsi="Calibri" w:cs="Times New Roman"/>
                <w:sz w:val="18"/>
                <w:szCs w:val="18"/>
              </w:rPr>
              <w:t>,</w:t>
            </w:r>
            <w:r>
              <w:rPr>
                <w:rFonts w:ascii="Calibri" w:hAnsi="Calibri" w:cs="Times New Roman" w:hint="eastAsia"/>
                <w:sz w:val="18"/>
                <w:szCs w:val="18"/>
              </w:rPr>
              <w:t>855</w:t>
            </w:r>
          </w:p>
        </w:tc>
        <w:tc>
          <w:tcPr>
            <w:tcW w:w="625" w:type="pct"/>
            <w:vAlign w:val="bottom"/>
          </w:tcPr>
          <w:p w:rsidR="00AD6A73" w:rsidRPr="00E07233" w:rsidRDefault="00AD6A73" w:rsidP="00AD6A73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 w:rsidRPr="00E07233">
              <w:rPr>
                <w:rFonts w:ascii="Calibri" w:hAnsi="Calibri" w:cs="Times New Roman"/>
                <w:sz w:val="18"/>
                <w:szCs w:val="18"/>
              </w:rPr>
              <w:t>+</w:t>
            </w:r>
            <w:r>
              <w:rPr>
                <w:rFonts w:ascii="Calibri" w:hAnsi="Calibri" w:cs="Times New Roman" w:hint="eastAsia"/>
                <w:sz w:val="18"/>
                <w:szCs w:val="18"/>
              </w:rPr>
              <w:t>3</w:t>
            </w:r>
            <w:r w:rsidR="00E5346E">
              <w:rPr>
                <w:rFonts w:ascii="Calibri" w:hAnsi="Calibri" w:cs="Times New Roman" w:hint="eastAsia"/>
                <w:sz w:val="18"/>
                <w:szCs w:val="18"/>
              </w:rPr>
              <w:t>,</w:t>
            </w:r>
            <w:r>
              <w:rPr>
                <w:rFonts w:ascii="Calibri" w:hAnsi="Calibri" w:cs="Times New Roman" w:hint="eastAsia"/>
                <w:sz w:val="18"/>
                <w:szCs w:val="18"/>
              </w:rPr>
              <w:t>004</w:t>
            </w:r>
          </w:p>
        </w:tc>
        <w:tc>
          <w:tcPr>
            <w:tcW w:w="625" w:type="pct"/>
            <w:vAlign w:val="bottom"/>
          </w:tcPr>
          <w:p w:rsidR="00AD6A73" w:rsidRPr="00E07233" w:rsidRDefault="00AD6A73" w:rsidP="00AD6A73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+2,602</w:t>
            </w:r>
          </w:p>
        </w:tc>
        <w:tc>
          <w:tcPr>
            <w:tcW w:w="625" w:type="pct"/>
            <w:vAlign w:val="bottom"/>
          </w:tcPr>
          <w:p w:rsidR="00AD6A73" w:rsidRPr="00E07233" w:rsidRDefault="00AD6A73" w:rsidP="00B535B9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+</w:t>
            </w:r>
            <w:r w:rsidR="00B535B9">
              <w:rPr>
                <w:rFonts w:ascii="Calibri" w:hAnsi="Calibri" w:cs="Times New Roman" w:hint="eastAsia"/>
                <w:sz w:val="18"/>
                <w:szCs w:val="18"/>
              </w:rPr>
              <w:t>5</w:t>
            </w:r>
            <w:r>
              <w:rPr>
                <w:rFonts w:ascii="Calibri" w:hAnsi="Calibri" w:cs="Times New Roman" w:hint="eastAsia"/>
                <w:sz w:val="18"/>
                <w:szCs w:val="18"/>
              </w:rPr>
              <w:t>,</w:t>
            </w:r>
            <w:r w:rsidR="00B535B9">
              <w:rPr>
                <w:rFonts w:ascii="Calibri" w:hAnsi="Calibri" w:cs="Times New Roman" w:hint="eastAsia"/>
                <w:sz w:val="18"/>
                <w:szCs w:val="18"/>
              </w:rPr>
              <w:t>606</w:t>
            </w:r>
          </w:p>
        </w:tc>
        <w:tc>
          <w:tcPr>
            <w:tcW w:w="623" w:type="pct"/>
            <w:vAlign w:val="bottom"/>
          </w:tcPr>
          <w:p w:rsidR="00AD6A73" w:rsidRPr="00E07233" w:rsidRDefault="00AD6A73" w:rsidP="00B535B9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1</w:t>
            </w:r>
            <w:r w:rsidR="00B535B9">
              <w:rPr>
                <w:rFonts w:ascii="Calibri" w:hAnsi="Calibri" w:cs="Times New Roman" w:hint="eastAsia"/>
                <w:sz w:val="18"/>
                <w:szCs w:val="18"/>
              </w:rPr>
              <w:t>71</w:t>
            </w:r>
            <w:r>
              <w:rPr>
                <w:rFonts w:ascii="Calibri" w:hAnsi="Calibri" w:cs="Times New Roman" w:hint="eastAsia"/>
                <w:sz w:val="18"/>
                <w:szCs w:val="18"/>
              </w:rPr>
              <w:t>,</w:t>
            </w:r>
            <w:r w:rsidR="00B535B9">
              <w:rPr>
                <w:rFonts w:ascii="Calibri" w:hAnsi="Calibri" w:cs="Times New Roman" w:hint="eastAsia"/>
                <w:sz w:val="18"/>
                <w:szCs w:val="18"/>
              </w:rPr>
              <w:t>113</w:t>
            </w:r>
          </w:p>
        </w:tc>
      </w:tr>
      <w:tr w:rsidR="00AD6A73" w:rsidRPr="00C61204" w:rsidTr="00BE0530">
        <w:trPr>
          <w:trHeight w:val="274"/>
          <w:jc w:val="center"/>
        </w:trPr>
        <w:tc>
          <w:tcPr>
            <w:tcW w:w="826" w:type="pct"/>
            <w:shd w:val="clear" w:color="auto" w:fill="EAF1DD" w:themeFill="accent3" w:themeFillTint="33"/>
            <w:vAlign w:val="center"/>
          </w:tcPr>
          <w:p w:rsidR="00AD6A73" w:rsidRPr="00C61204" w:rsidRDefault="00AD6A73" w:rsidP="00BE0530">
            <w:pPr>
              <w:rPr>
                <w:rFonts w:ascii="Calibri" w:hAnsi="Calibri" w:cs="Times New Roman"/>
                <w:sz w:val="18"/>
                <w:szCs w:val="18"/>
              </w:rPr>
            </w:pPr>
            <w:r w:rsidRPr="00C61204">
              <w:rPr>
                <w:rFonts w:ascii="Calibri" w:hAnsi="Calibri" w:cs="Times New Roman" w:hint="eastAsia"/>
                <w:sz w:val="18"/>
                <w:szCs w:val="18"/>
              </w:rPr>
              <w:t>-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 w:hint="eastAsia"/>
                <w:sz w:val="18"/>
                <w:szCs w:val="18"/>
              </w:rPr>
              <w:t>Equity</w:t>
            </w:r>
          </w:p>
        </w:tc>
        <w:tc>
          <w:tcPr>
            <w:tcW w:w="428" w:type="pct"/>
            <w:vAlign w:val="bottom"/>
          </w:tcPr>
          <w:p w:rsidR="00AD6A73" w:rsidRPr="00E07233" w:rsidRDefault="00AD6A73" w:rsidP="00AD6A73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 w:rsidRPr="00E07233">
              <w:rPr>
                <w:rFonts w:ascii="Calibri" w:hAnsi="Calibri" w:cs="Times New Roman"/>
                <w:sz w:val="18"/>
                <w:szCs w:val="18"/>
              </w:rPr>
              <w:t>8</w:t>
            </w:r>
            <w:r>
              <w:rPr>
                <w:rFonts w:ascii="Calibri" w:hAnsi="Calibri" w:cs="Times New Roman" w:hint="eastAsia"/>
                <w:sz w:val="18"/>
                <w:szCs w:val="18"/>
              </w:rPr>
              <w:t>4</w:t>
            </w:r>
            <w:r w:rsidRPr="00E07233">
              <w:rPr>
                <w:rFonts w:ascii="Calibri" w:hAnsi="Calibri" w:cs="Times New Roman"/>
                <w:sz w:val="18"/>
                <w:szCs w:val="18"/>
              </w:rPr>
              <w:t>,</w:t>
            </w:r>
            <w:r>
              <w:rPr>
                <w:rFonts w:ascii="Calibri" w:hAnsi="Calibri" w:cs="Times New Roman" w:hint="eastAsia"/>
                <w:sz w:val="18"/>
                <w:szCs w:val="18"/>
              </w:rPr>
              <w:t>621</w:t>
            </w:r>
          </w:p>
        </w:tc>
        <w:tc>
          <w:tcPr>
            <w:tcW w:w="624" w:type="pct"/>
            <w:vAlign w:val="bottom"/>
          </w:tcPr>
          <w:p w:rsidR="00AD6A73" w:rsidRPr="00E07233" w:rsidRDefault="00AD6A73" w:rsidP="00AD6A73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2,655</w:t>
            </w:r>
          </w:p>
        </w:tc>
        <w:tc>
          <w:tcPr>
            <w:tcW w:w="624" w:type="pct"/>
            <w:vAlign w:val="bottom"/>
          </w:tcPr>
          <w:p w:rsidR="00AD6A73" w:rsidRPr="00E07233" w:rsidRDefault="00AD6A73" w:rsidP="00AD6A73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2,385</w:t>
            </w:r>
          </w:p>
        </w:tc>
        <w:tc>
          <w:tcPr>
            <w:tcW w:w="625" w:type="pct"/>
            <w:vAlign w:val="bottom"/>
          </w:tcPr>
          <w:p w:rsidR="00AD6A73" w:rsidRPr="00E07233" w:rsidRDefault="00AD6A73" w:rsidP="00AD6A73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+270</w:t>
            </w:r>
          </w:p>
        </w:tc>
        <w:tc>
          <w:tcPr>
            <w:tcW w:w="625" w:type="pct"/>
            <w:vAlign w:val="bottom"/>
          </w:tcPr>
          <w:p w:rsidR="00AD6A73" w:rsidRPr="00E07233" w:rsidRDefault="00AD6A73" w:rsidP="00AD6A73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 w:rsidRPr="00E07233">
              <w:rPr>
                <w:rFonts w:ascii="Calibri" w:hAnsi="Calibri" w:cs="Times New Roman"/>
                <w:sz w:val="18"/>
                <w:szCs w:val="18"/>
              </w:rPr>
              <w:t>Δ</w:t>
            </w:r>
            <w:r>
              <w:rPr>
                <w:rFonts w:ascii="Calibri" w:hAnsi="Calibri" w:cs="Times New Roman" w:hint="eastAsia"/>
                <w:sz w:val="18"/>
                <w:szCs w:val="18"/>
              </w:rPr>
              <w:t xml:space="preserve"> 865</w:t>
            </w:r>
          </w:p>
        </w:tc>
        <w:tc>
          <w:tcPr>
            <w:tcW w:w="625" w:type="pct"/>
            <w:vAlign w:val="bottom"/>
          </w:tcPr>
          <w:p w:rsidR="00AD6A73" w:rsidRPr="00E07233" w:rsidRDefault="00AD6A73" w:rsidP="00B535B9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 w:rsidRPr="00E07233">
              <w:rPr>
                <w:rFonts w:ascii="Calibri" w:hAnsi="Calibri" w:cs="Times New Roman"/>
                <w:sz w:val="18"/>
                <w:szCs w:val="18"/>
              </w:rPr>
              <w:t>Δ</w:t>
            </w:r>
            <w:r w:rsidR="00B535B9">
              <w:rPr>
                <w:rFonts w:ascii="Calibri" w:hAnsi="Calibri" w:cs="Times New Roman" w:hint="eastAsia"/>
                <w:sz w:val="18"/>
                <w:szCs w:val="18"/>
              </w:rPr>
              <w:t>595</w:t>
            </w:r>
          </w:p>
        </w:tc>
        <w:tc>
          <w:tcPr>
            <w:tcW w:w="623" w:type="pct"/>
            <w:vAlign w:val="bottom"/>
          </w:tcPr>
          <w:p w:rsidR="00AD6A73" w:rsidRPr="00E07233" w:rsidRDefault="00AD6A73" w:rsidP="00B535B9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84,</w:t>
            </w:r>
            <w:r w:rsidR="00B535B9">
              <w:rPr>
                <w:rFonts w:ascii="Calibri" w:hAnsi="Calibri" w:cs="Times New Roman" w:hint="eastAsia"/>
                <w:sz w:val="18"/>
                <w:szCs w:val="18"/>
              </w:rPr>
              <w:t>026</w:t>
            </w:r>
          </w:p>
        </w:tc>
      </w:tr>
      <w:tr w:rsidR="00AD6A73" w:rsidRPr="00C61204" w:rsidTr="00BE0530">
        <w:trPr>
          <w:trHeight w:val="263"/>
          <w:jc w:val="center"/>
        </w:trPr>
        <w:tc>
          <w:tcPr>
            <w:tcW w:w="826" w:type="pct"/>
            <w:shd w:val="clear" w:color="auto" w:fill="EAF1DD" w:themeFill="accent3" w:themeFillTint="33"/>
            <w:vAlign w:val="center"/>
          </w:tcPr>
          <w:p w:rsidR="00AD6A73" w:rsidRPr="00C61204" w:rsidRDefault="00AD6A73" w:rsidP="00BE0530">
            <w:pPr>
              <w:rPr>
                <w:rFonts w:ascii="Calibri" w:hAnsi="Calibri" w:cs="Times New Roman"/>
                <w:sz w:val="18"/>
                <w:szCs w:val="18"/>
              </w:rPr>
            </w:pPr>
            <w:r w:rsidRPr="00C61204">
              <w:rPr>
                <w:rFonts w:ascii="Calibri" w:hAnsi="Calibri" w:cs="Times New Roman" w:hint="eastAsia"/>
                <w:sz w:val="18"/>
                <w:szCs w:val="18"/>
              </w:rPr>
              <w:t>-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 w:hint="eastAsia"/>
                <w:sz w:val="18"/>
                <w:szCs w:val="18"/>
              </w:rPr>
              <w:t>Hybrid-Equity</w:t>
            </w:r>
          </w:p>
        </w:tc>
        <w:tc>
          <w:tcPr>
            <w:tcW w:w="428" w:type="pct"/>
            <w:vAlign w:val="bottom"/>
          </w:tcPr>
          <w:p w:rsidR="00AD6A73" w:rsidRPr="00E07233" w:rsidRDefault="00AD6A73" w:rsidP="00AD6A73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9,121</w:t>
            </w:r>
          </w:p>
        </w:tc>
        <w:tc>
          <w:tcPr>
            <w:tcW w:w="624" w:type="pct"/>
            <w:vAlign w:val="bottom"/>
          </w:tcPr>
          <w:p w:rsidR="00AD6A73" w:rsidRPr="00E07233" w:rsidRDefault="00AD6A73" w:rsidP="00BE0530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487</w:t>
            </w:r>
          </w:p>
        </w:tc>
        <w:tc>
          <w:tcPr>
            <w:tcW w:w="624" w:type="pct"/>
            <w:vAlign w:val="bottom"/>
          </w:tcPr>
          <w:p w:rsidR="00AD6A73" w:rsidRPr="00E07233" w:rsidRDefault="00AD6A73" w:rsidP="00BE0530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353</w:t>
            </w:r>
          </w:p>
        </w:tc>
        <w:tc>
          <w:tcPr>
            <w:tcW w:w="625" w:type="pct"/>
            <w:vAlign w:val="bottom"/>
          </w:tcPr>
          <w:p w:rsidR="00AD6A73" w:rsidRPr="00E07233" w:rsidRDefault="00AD6A73" w:rsidP="00AD6A73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+134</w:t>
            </w:r>
          </w:p>
        </w:tc>
        <w:tc>
          <w:tcPr>
            <w:tcW w:w="625" w:type="pct"/>
            <w:vAlign w:val="bottom"/>
          </w:tcPr>
          <w:p w:rsidR="00AD6A73" w:rsidRPr="00E07233" w:rsidRDefault="00AD6A73" w:rsidP="00AD6A73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 w:rsidRPr="00E07233">
              <w:rPr>
                <w:rFonts w:ascii="Calibri" w:hAnsi="Calibri" w:cs="Times New Roman"/>
                <w:sz w:val="18"/>
                <w:szCs w:val="18"/>
              </w:rPr>
              <w:t>Δ</w:t>
            </w:r>
            <w:r>
              <w:rPr>
                <w:rFonts w:ascii="Calibri" w:hAnsi="Calibri" w:cs="Times New Roman" w:hint="eastAsia"/>
                <w:sz w:val="18"/>
                <w:szCs w:val="18"/>
              </w:rPr>
              <w:t xml:space="preserve"> 67</w:t>
            </w:r>
          </w:p>
        </w:tc>
        <w:tc>
          <w:tcPr>
            <w:tcW w:w="625" w:type="pct"/>
            <w:vAlign w:val="bottom"/>
          </w:tcPr>
          <w:p w:rsidR="00AD6A73" w:rsidRPr="00E07233" w:rsidRDefault="00B535B9" w:rsidP="00BE0530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+67</w:t>
            </w:r>
          </w:p>
        </w:tc>
        <w:tc>
          <w:tcPr>
            <w:tcW w:w="623" w:type="pct"/>
            <w:vAlign w:val="bottom"/>
          </w:tcPr>
          <w:p w:rsidR="00AD6A73" w:rsidRPr="00E07233" w:rsidRDefault="00AD6A73" w:rsidP="00B535B9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9,1</w:t>
            </w:r>
            <w:r w:rsidR="00B535B9">
              <w:rPr>
                <w:rFonts w:ascii="Calibri" w:hAnsi="Calibri" w:cs="Times New Roman" w:hint="eastAsia"/>
                <w:sz w:val="18"/>
                <w:szCs w:val="18"/>
              </w:rPr>
              <w:t>88</w:t>
            </w:r>
          </w:p>
        </w:tc>
      </w:tr>
      <w:tr w:rsidR="00AD6A73" w:rsidRPr="00C61204" w:rsidTr="00BE0530">
        <w:trPr>
          <w:trHeight w:val="282"/>
          <w:jc w:val="center"/>
        </w:trPr>
        <w:tc>
          <w:tcPr>
            <w:tcW w:w="826" w:type="pct"/>
            <w:shd w:val="clear" w:color="auto" w:fill="EAF1DD" w:themeFill="accent3" w:themeFillTint="33"/>
            <w:vAlign w:val="center"/>
          </w:tcPr>
          <w:p w:rsidR="00AD6A73" w:rsidRPr="00C61204" w:rsidRDefault="00AD6A73" w:rsidP="00BE0530">
            <w:pPr>
              <w:rPr>
                <w:rFonts w:ascii="Calibri" w:hAnsi="Calibri" w:cs="Times New Roman"/>
                <w:sz w:val="18"/>
                <w:szCs w:val="18"/>
              </w:rPr>
            </w:pPr>
            <w:r w:rsidRPr="00C61204">
              <w:rPr>
                <w:rFonts w:ascii="Calibri" w:hAnsi="Calibri" w:cs="Times New Roman" w:hint="eastAsia"/>
                <w:sz w:val="18"/>
                <w:szCs w:val="18"/>
              </w:rPr>
              <w:t>-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 w:hint="eastAsia"/>
                <w:sz w:val="18"/>
                <w:szCs w:val="18"/>
              </w:rPr>
              <w:t>Hybrid-Bond</w:t>
            </w:r>
          </w:p>
        </w:tc>
        <w:tc>
          <w:tcPr>
            <w:tcW w:w="428" w:type="pct"/>
            <w:vAlign w:val="bottom"/>
          </w:tcPr>
          <w:p w:rsidR="00AD6A73" w:rsidRPr="00E07233" w:rsidRDefault="00AD6A73" w:rsidP="00AD6A73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21,128</w:t>
            </w:r>
          </w:p>
        </w:tc>
        <w:tc>
          <w:tcPr>
            <w:tcW w:w="624" w:type="pct"/>
            <w:vAlign w:val="bottom"/>
          </w:tcPr>
          <w:p w:rsidR="00AD6A73" w:rsidRPr="00E07233" w:rsidRDefault="00AD6A73" w:rsidP="00AD6A73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2,414</w:t>
            </w:r>
          </w:p>
        </w:tc>
        <w:tc>
          <w:tcPr>
            <w:tcW w:w="624" w:type="pct"/>
            <w:vAlign w:val="bottom"/>
          </w:tcPr>
          <w:p w:rsidR="00AD6A73" w:rsidRPr="00E07233" w:rsidRDefault="00AD6A73" w:rsidP="00BE0530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885</w:t>
            </w:r>
          </w:p>
        </w:tc>
        <w:tc>
          <w:tcPr>
            <w:tcW w:w="625" w:type="pct"/>
            <w:vAlign w:val="bottom"/>
          </w:tcPr>
          <w:p w:rsidR="00AD6A73" w:rsidRPr="00E07233" w:rsidRDefault="00AD6A73" w:rsidP="00AD6A73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+1,529</w:t>
            </w:r>
          </w:p>
        </w:tc>
        <w:tc>
          <w:tcPr>
            <w:tcW w:w="625" w:type="pct"/>
            <w:vAlign w:val="bottom"/>
          </w:tcPr>
          <w:p w:rsidR="00AD6A73" w:rsidRPr="00E07233" w:rsidRDefault="00AD6A73" w:rsidP="00B535B9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 w:rsidRPr="00E07233">
              <w:rPr>
                <w:rFonts w:ascii="Calibri" w:hAnsi="Calibri" w:cs="Times New Roman"/>
                <w:sz w:val="18"/>
                <w:szCs w:val="18"/>
              </w:rPr>
              <w:t>Δ</w:t>
            </w:r>
            <w:r>
              <w:rPr>
                <w:rFonts w:ascii="Calibri" w:hAnsi="Calibri" w:cs="Times New Roman" w:hint="eastAsia"/>
                <w:sz w:val="18"/>
                <w:szCs w:val="18"/>
              </w:rPr>
              <w:t xml:space="preserve"> 2</w:t>
            </w:r>
            <w:r w:rsidR="00B535B9">
              <w:rPr>
                <w:rFonts w:ascii="Calibri" w:hAnsi="Calibri" w:cs="Times New Roman" w:hint="eastAsia"/>
                <w:sz w:val="18"/>
                <w:szCs w:val="18"/>
              </w:rPr>
              <w:t>3</w:t>
            </w:r>
            <w:r>
              <w:rPr>
                <w:rFonts w:ascii="Calibri" w:hAnsi="Calibri" w:cs="Times New Roman" w:hint="eastAsia"/>
                <w:sz w:val="18"/>
                <w:szCs w:val="18"/>
              </w:rPr>
              <w:t>9</w:t>
            </w:r>
          </w:p>
        </w:tc>
        <w:tc>
          <w:tcPr>
            <w:tcW w:w="625" w:type="pct"/>
            <w:vAlign w:val="bottom"/>
          </w:tcPr>
          <w:p w:rsidR="00AD6A73" w:rsidRPr="00E07233" w:rsidRDefault="00AD6A73" w:rsidP="00BE0530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+</w:t>
            </w:r>
            <w:r w:rsidR="00B535B9">
              <w:rPr>
                <w:rFonts w:ascii="Calibri" w:hAnsi="Calibri" w:cs="Times New Roman" w:hint="eastAsia"/>
                <w:sz w:val="18"/>
                <w:szCs w:val="18"/>
              </w:rPr>
              <w:t>1,290</w:t>
            </w:r>
          </w:p>
        </w:tc>
        <w:tc>
          <w:tcPr>
            <w:tcW w:w="623" w:type="pct"/>
            <w:vAlign w:val="bottom"/>
          </w:tcPr>
          <w:p w:rsidR="00AD6A73" w:rsidRPr="00E07233" w:rsidRDefault="00AD6A73" w:rsidP="00B535B9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2</w:t>
            </w:r>
            <w:r w:rsidR="00B535B9">
              <w:rPr>
                <w:rFonts w:ascii="Calibri" w:hAnsi="Calibri" w:cs="Times New Roman" w:hint="eastAsia"/>
                <w:sz w:val="18"/>
                <w:szCs w:val="18"/>
              </w:rPr>
              <w:t>2</w:t>
            </w:r>
            <w:r>
              <w:rPr>
                <w:rFonts w:ascii="Calibri" w:hAnsi="Calibri" w:cs="Times New Roman" w:hint="eastAsia"/>
                <w:sz w:val="18"/>
                <w:szCs w:val="18"/>
              </w:rPr>
              <w:t>,</w:t>
            </w:r>
            <w:r w:rsidR="00B535B9">
              <w:rPr>
                <w:rFonts w:ascii="Calibri" w:hAnsi="Calibri" w:cs="Times New Roman" w:hint="eastAsia"/>
                <w:sz w:val="18"/>
                <w:szCs w:val="18"/>
              </w:rPr>
              <w:t>418</w:t>
            </w:r>
          </w:p>
        </w:tc>
      </w:tr>
      <w:tr w:rsidR="00AD6A73" w:rsidRPr="00C61204" w:rsidTr="00BE0530">
        <w:trPr>
          <w:trHeight w:val="271"/>
          <w:jc w:val="center"/>
        </w:trPr>
        <w:tc>
          <w:tcPr>
            <w:tcW w:w="826" w:type="pct"/>
            <w:shd w:val="clear" w:color="auto" w:fill="EAF1DD" w:themeFill="accent3" w:themeFillTint="33"/>
            <w:vAlign w:val="center"/>
          </w:tcPr>
          <w:p w:rsidR="00AD6A73" w:rsidRPr="00C61204" w:rsidRDefault="00AD6A73" w:rsidP="00BE0530">
            <w:pPr>
              <w:rPr>
                <w:rFonts w:ascii="Calibri" w:hAnsi="Calibri" w:cs="Times New Roman"/>
                <w:sz w:val="18"/>
                <w:szCs w:val="18"/>
              </w:rPr>
            </w:pPr>
            <w:r w:rsidRPr="00C61204">
              <w:rPr>
                <w:rFonts w:ascii="Calibri" w:hAnsi="Calibri" w:cs="Times New Roman" w:hint="eastAsia"/>
                <w:sz w:val="18"/>
                <w:szCs w:val="18"/>
              </w:rPr>
              <w:t>-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 w:hint="eastAsia"/>
                <w:sz w:val="18"/>
                <w:szCs w:val="18"/>
              </w:rPr>
              <w:t>Bond</w:t>
            </w:r>
          </w:p>
        </w:tc>
        <w:tc>
          <w:tcPr>
            <w:tcW w:w="428" w:type="pct"/>
            <w:vAlign w:val="bottom"/>
          </w:tcPr>
          <w:p w:rsidR="00AD6A73" w:rsidRPr="00E07233" w:rsidRDefault="00AD6A73" w:rsidP="00AD6A73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50,638</w:t>
            </w:r>
          </w:p>
        </w:tc>
        <w:tc>
          <w:tcPr>
            <w:tcW w:w="624" w:type="pct"/>
            <w:vAlign w:val="bottom"/>
          </w:tcPr>
          <w:p w:rsidR="00AD6A73" w:rsidRPr="00E07233" w:rsidRDefault="00AD6A73" w:rsidP="00AD6A73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4,303</w:t>
            </w:r>
          </w:p>
        </w:tc>
        <w:tc>
          <w:tcPr>
            <w:tcW w:w="624" w:type="pct"/>
            <w:vAlign w:val="bottom"/>
          </w:tcPr>
          <w:p w:rsidR="00AD6A73" w:rsidRPr="00E07233" w:rsidRDefault="00AD6A73" w:rsidP="00AD6A73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3,232</w:t>
            </w:r>
          </w:p>
        </w:tc>
        <w:tc>
          <w:tcPr>
            <w:tcW w:w="625" w:type="pct"/>
            <w:vAlign w:val="bottom"/>
          </w:tcPr>
          <w:p w:rsidR="00AD6A73" w:rsidRPr="00E07233" w:rsidRDefault="00AD6A73" w:rsidP="00AD6A73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+1,071</w:t>
            </w:r>
          </w:p>
        </w:tc>
        <w:tc>
          <w:tcPr>
            <w:tcW w:w="625" w:type="pct"/>
            <w:vAlign w:val="bottom"/>
          </w:tcPr>
          <w:p w:rsidR="00AD6A73" w:rsidRPr="00E07233" w:rsidRDefault="00B535B9" w:rsidP="00B535B9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+3,773</w:t>
            </w:r>
          </w:p>
        </w:tc>
        <w:tc>
          <w:tcPr>
            <w:tcW w:w="625" w:type="pct"/>
            <w:vAlign w:val="bottom"/>
          </w:tcPr>
          <w:p w:rsidR="00AD6A73" w:rsidRPr="00E07233" w:rsidRDefault="00B535B9" w:rsidP="00BE0530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+4</w:t>
            </w:r>
            <w:r w:rsidR="00AD6A73">
              <w:rPr>
                <w:rFonts w:ascii="Calibri" w:hAnsi="Calibri" w:cs="Times New Roman" w:hint="eastAsia"/>
                <w:sz w:val="18"/>
                <w:szCs w:val="18"/>
              </w:rPr>
              <w:t>,</w:t>
            </w:r>
            <w:r>
              <w:rPr>
                <w:rFonts w:ascii="Calibri" w:hAnsi="Calibri" w:cs="Times New Roman" w:hint="eastAsia"/>
                <w:sz w:val="18"/>
                <w:szCs w:val="18"/>
              </w:rPr>
              <w:t>844</w:t>
            </w:r>
          </w:p>
        </w:tc>
        <w:tc>
          <w:tcPr>
            <w:tcW w:w="623" w:type="pct"/>
            <w:vAlign w:val="bottom"/>
          </w:tcPr>
          <w:p w:rsidR="00AD6A73" w:rsidRPr="00E07233" w:rsidRDefault="00AD6A73" w:rsidP="00B535B9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5</w:t>
            </w:r>
            <w:r w:rsidR="00B535B9">
              <w:rPr>
                <w:rFonts w:ascii="Calibri" w:hAnsi="Calibri" w:cs="Times New Roman" w:hint="eastAsia"/>
                <w:sz w:val="18"/>
                <w:szCs w:val="18"/>
              </w:rPr>
              <w:t>5</w:t>
            </w:r>
            <w:r>
              <w:rPr>
                <w:rFonts w:ascii="Calibri" w:hAnsi="Calibri" w:cs="Times New Roman" w:hint="eastAsia"/>
                <w:sz w:val="18"/>
                <w:szCs w:val="18"/>
              </w:rPr>
              <w:t>,</w:t>
            </w:r>
            <w:r w:rsidR="00B535B9">
              <w:rPr>
                <w:rFonts w:ascii="Calibri" w:hAnsi="Calibri" w:cs="Times New Roman" w:hint="eastAsia"/>
                <w:sz w:val="18"/>
                <w:szCs w:val="18"/>
              </w:rPr>
              <w:t>482</w:t>
            </w:r>
          </w:p>
        </w:tc>
      </w:tr>
      <w:tr w:rsidR="00AD6A73" w:rsidRPr="00C61204" w:rsidTr="00BE0530">
        <w:trPr>
          <w:trHeight w:val="276"/>
          <w:jc w:val="center"/>
        </w:trPr>
        <w:tc>
          <w:tcPr>
            <w:tcW w:w="826" w:type="pct"/>
            <w:shd w:val="clear" w:color="auto" w:fill="C2D69B" w:themeFill="accent3" w:themeFillTint="99"/>
            <w:vAlign w:val="center"/>
          </w:tcPr>
          <w:p w:rsidR="00AD6A73" w:rsidRPr="00C61204" w:rsidRDefault="00AD6A73" w:rsidP="00BE0530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MMFs (B)</w:t>
            </w:r>
          </w:p>
        </w:tc>
        <w:tc>
          <w:tcPr>
            <w:tcW w:w="428" w:type="pct"/>
            <w:vAlign w:val="bottom"/>
          </w:tcPr>
          <w:p w:rsidR="00AD6A73" w:rsidRPr="00E07233" w:rsidRDefault="00AD6A73" w:rsidP="00AD6A73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76,322</w:t>
            </w:r>
          </w:p>
        </w:tc>
        <w:tc>
          <w:tcPr>
            <w:tcW w:w="624" w:type="pct"/>
            <w:vAlign w:val="bottom"/>
          </w:tcPr>
          <w:p w:rsidR="00AD6A73" w:rsidRPr="00E07233" w:rsidRDefault="00AD6A73" w:rsidP="00AD6A73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35,597</w:t>
            </w:r>
          </w:p>
        </w:tc>
        <w:tc>
          <w:tcPr>
            <w:tcW w:w="624" w:type="pct"/>
            <w:vAlign w:val="bottom"/>
          </w:tcPr>
          <w:p w:rsidR="00AD6A73" w:rsidRPr="00E07233" w:rsidRDefault="00AD6A73" w:rsidP="00AD6A73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46,057</w:t>
            </w:r>
          </w:p>
        </w:tc>
        <w:tc>
          <w:tcPr>
            <w:tcW w:w="625" w:type="pct"/>
            <w:vAlign w:val="bottom"/>
          </w:tcPr>
          <w:p w:rsidR="00AD6A73" w:rsidRPr="00E07233" w:rsidRDefault="00AD6A73" w:rsidP="00AD6A73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 w:rsidRPr="00E07233">
              <w:rPr>
                <w:rFonts w:ascii="Calibri" w:hAnsi="Calibri" w:cs="Times New Roman"/>
                <w:sz w:val="18"/>
                <w:szCs w:val="18"/>
              </w:rPr>
              <w:t>Δ</w:t>
            </w:r>
            <w:r>
              <w:rPr>
                <w:rFonts w:ascii="Calibri" w:hAnsi="Calibri" w:cs="Times New Roman" w:hint="eastAsia"/>
                <w:sz w:val="18"/>
                <w:szCs w:val="18"/>
              </w:rPr>
              <w:t>10,460</w:t>
            </w:r>
          </w:p>
        </w:tc>
        <w:tc>
          <w:tcPr>
            <w:tcW w:w="625" w:type="pct"/>
            <w:vAlign w:val="bottom"/>
          </w:tcPr>
          <w:p w:rsidR="00AD6A73" w:rsidRPr="00E07233" w:rsidRDefault="00B535B9" w:rsidP="00B535B9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+</w:t>
            </w:r>
            <w:r w:rsidR="00AD6A73">
              <w:rPr>
                <w:rFonts w:ascii="Calibri" w:hAnsi="Calibri" w:cs="Times New Roman" w:hint="eastAsia"/>
                <w:sz w:val="18"/>
                <w:szCs w:val="18"/>
              </w:rPr>
              <w:t>1</w:t>
            </w:r>
            <w:r>
              <w:rPr>
                <w:rFonts w:ascii="Calibri" w:hAnsi="Calibri" w:cs="Times New Roman" w:hint="eastAsia"/>
                <w:sz w:val="18"/>
                <w:szCs w:val="18"/>
              </w:rPr>
              <w:t>60</w:t>
            </w:r>
          </w:p>
        </w:tc>
        <w:tc>
          <w:tcPr>
            <w:tcW w:w="625" w:type="pct"/>
            <w:vAlign w:val="bottom"/>
          </w:tcPr>
          <w:p w:rsidR="00AD6A73" w:rsidRPr="00E07233" w:rsidRDefault="00AD6A73" w:rsidP="00B535B9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 w:rsidRPr="00E07233">
              <w:rPr>
                <w:rFonts w:ascii="Calibri" w:hAnsi="Calibri" w:cs="Times New Roman"/>
                <w:sz w:val="18"/>
                <w:szCs w:val="18"/>
              </w:rPr>
              <w:t>Δ</w:t>
            </w:r>
            <w:r>
              <w:rPr>
                <w:rFonts w:ascii="Calibri" w:hAnsi="Calibri" w:cs="Times New Roman" w:hint="eastAsia"/>
                <w:sz w:val="18"/>
                <w:szCs w:val="18"/>
              </w:rPr>
              <w:t>1</w:t>
            </w:r>
            <w:r w:rsidR="00B535B9">
              <w:rPr>
                <w:rFonts w:ascii="Calibri" w:hAnsi="Calibri" w:cs="Times New Roman" w:hint="eastAsia"/>
                <w:sz w:val="18"/>
                <w:szCs w:val="18"/>
              </w:rPr>
              <w:t>0</w:t>
            </w:r>
            <w:r>
              <w:rPr>
                <w:rFonts w:ascii="Calibri" w:hAnsi="Calibri" w:cs="Times New Roman" w:hint="eastAsia"/>
                <w:sz w:val="18"/>
                <w:szCs w:val="18"/>
              </w:rPr>
              <w:t>,</w:t>
            </w:r>
            <w:r w:rsidR="00B535B9">
              <w:rPr>
                <w:rFonts w:ascii="Calibri" w:hAnsi="Calibri" w:cs="Times New Roman" w:hint="eastAsia"/>
                <w:sz w:val="18"/>
                <w:szCs w:val="18"/>
              </w:rPr>
              <w:t>300</w:t>
            </w:r>
          </w:p>
        </w:tc>
        <w:tc>
          <w:tcPr>
            <w:tcW w:w="623" w:type="pct"/>
            <w:vAlign w:val="bottom"/>
          </w:tcPr>
          <w:p w:rsidR="00AD6A73" w:rsidRPr="00E07233" w:rsidRDefault="00B535B9" w:rsidP="00B535B9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6</w:t>
            </w:r>
            <w:r w:rsidR="00AD6A73">
              <w:rPr>
                <w:rFonts w:ascii="Calibri" w:hAnsi="Calibri" w:cs="Times New Roman" w:hint="eastAsia"/>
                <w:sz w:val="18"/>
                <w:szCs w:val="18"/>
              </w:rPr>
              <w:t>6,</w:t>
            </w:r>
            <w:r>
              <w:rPr>
                <w:rFonts w:ascii="Calibri" w:hAnsi="Calibri" w:cs="Times New Roman" w:hint="eastAsia"/>
                <w:sz w:val="18"/>
                <w:szCs w:val="18"/>
              </w:rPr>
              <w:t>022</w:t>
            </w:r>
          </w:p>
        </w:tc>
      </w:tr>
      <w:tr w:rsidR="00AD6A73" w:rsidRPr="00C61204" w:rsidTr="00BE0530">
        <w:trPr>
          <w:trHeight w:val="279"/>
          <w:jc w:val="center"/>
        </w:trPr>
        <w:tc>
          <w:tcPr>
            <w:tcW w:w="826" w:type="pct"/>
            <w:shd w:val="clear" w:color="auto" w:fill="C2D69B" w:themeFill="accent3" w:themeFillTint="99"/>
            <w:vAlign w:val="center"/>
          </w:tcPr>
          <w:p w:rsidR="00AD6A73" w:rsidRPr="00C61204" w:rsidRDefault="00AD6A73" w:rsidP="00BE0530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Derivatives (C)</w:t>
            </w:r>
          </w:p>
        </w:tc>
        <w:tc>
          <w:tcPr>
            <w:tcW w:w="428" w:type="pct"/>
            <w:vAlign w:val="bottom"/>
          </w:tcPr>
          <w:p w:rsidR="00AD6A73" w:rsidRPr="00E07233" w:rsidRDefault="00AD6A73" w:rsidP="00AD6A73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32,859</w:t>
            </w:r>
          </w:p>
        </w:tc>
        <w:tc>
          <w:tcPr>
            <w:tcW w:w="624" w:type="pct"/>
            <w:vAlign w:val="bottom"/>
          </w:tcPr>
          <w:p w:rsidR="00AD6A73" w:rsidRPr="00E07233" w:rsidRDefault="00AD6A73" w:rsidP="00AD6A73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2,485</w:t>
            </w:r>
          </w:p>
        </w:tc>
        <w:tc>
          <w:tcPr>
            <w:tcW w:w="624" w:type="pct"/>
            <w:vAlign w:val="bottom"/>
          </w:tcPr>
          <w:p w:rsidR="00AD6A73" w:rsidRPr="00E07233" w:rsidRDefault="00AD6A73" w:rsidP="00AD6A73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1,177</w:t>
            </w:r>
          </w:p>
        </w:tc>
        <w:tc>
          <w:tcPr>
            <w:tcW w:w="625" w:type="pct"/>
            <w:vAlign w:val="bottom"/>
          </w:tcPr>
          <w:p w:rsidR="00AD6A73" w:rsidRPr="00E07233" w:rsidRDefault="00AD6A73" w:rsidP="00AD6A73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+1,308</w:t>
            </w:r>
          </w:p>
        </w:tc>
        <w:tc>
          <w:tcPr>
            <w:tcW w:w="625" w:type="pct"/>
            <w:vAlign w:val="bottom"/>
          </w:tcPr>
          <w:p w:rsidR="00AD6A73" w:rsidRPr="00E07233" w:rsidRDefault="00B535B9" w:rsidP="00B535B9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 w:rsidRPr="00E07233">
              <w:rPr>
                <w:rFonts w:ascii="Calibri" w:hAnsi="Calibri" w:cs="Times New Roman"/>
                <w:sz w:val="18"/>
                <w:szCs w:val="18"/>
              </w:rPr>
              <w:t>Δ</w:t>
            </w:r>
            <w:r>
              <w:rPr>
                <w:rFonts w:ascii="Calibri" w:hAnsi="Calibri" w:cs="Times New Roman" w:hint="eastAsia"/>
                <w:sz w:val="18"/>
                <w:szCs w:val="18"/>
              </w:rPr>
              <w:t xml:space="preserve"> </w:t>
            </w:r>
            <w:r w:rsidR="00AD6A73">
              <w:rPr>
                <w:rFonts w:ascii="Calibri" w:hAnsi="Calibri" w:cs="Times New Roman" w:hint="eastAsia"/>
                <w:sz w:val="18"/>
                <w:szCs w:val="18"/>
              </w:rPr>
              <w:t>2</w:t>
            </w:r>
            <w:r>
              <w:rPr>
                <w:rFonts w:ascii="Calibri" w:hAnsi="Calibri" w:cs="Times New Roman" w:hint="eastAsia"/>
                <w:sz w:val="18"/>
                <w:szCs w:val="18"/>
              </w:rPr>
              <w:t>,578</w:t>
            </w:r>
          </w:p>
        </w:tc>
        <w:tc>
          <w:tcPr>
            <w:tcW w:w="625" w:type="pct"/>
            <w:vAlign w:val="bottom"/>
          </w:tcPr>
          <w:p w:rsidR="00AD6A73" w:rsidRPr="00E07233" w:rsidRDefault="00B535B9" w:rsidP="00B535B9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 w:rsidRPr="00E07233">
              <w:rPr>
                <w:rFonts w:ascii="Calibri" w:hAnsi="Calibri" w:cs="Times New Roman"/>
                <w:sz w:val="18"/>
                <w:szCs w:val="18"/>
              </w:rPr>
              <w:t>Δ</w:t>
            </w:r>
            <w:r>
              <w:rPr>
                <w:rFonts w:ascii="Calibri" w:hAnsi="Calibri" w:cs="Times New Roman" w:hint="eastAsia"/>
                <w:sz w:val="18"/>
                <w:szCs w:val="18"/>
              </w:rPr>
              <w:t xml:space="preserve"> 1,270</w:t>
            </w:r>
          </w:p>
        </w:tc>
        <w:tc>
          <w:tcPr>
            <w:tcW w:w="623" w:type="pct"/>
            <w:vAlign w:val="bottom"/>
          </w:tcPr>
          <w:p w:rsidR="00AD6A73" w:rsidRPr="00E07233" w:rsidRDefault="00AD6A73" w:rsidP="00B535B9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3</w:t>
            </w:r>
            <w:r w:rsidR="00B535B9">
              <w:rPr>
                <w:rFonts w:ascii="Calibri" w:hAnsi="Calibri" w:cs="Times New Roman" w:hint="eastAsia"/>
                <w:sz w:val="18"/>
                <w:szCs w:val="18"/>
              </w:rPr>
              <w:t>1</w:t>
            </w:r>
            <w:r>
              <w:rPr>
                <w:rFonts w:ascii="Calibri" w:hAnsi="Calibri" w:cs="Times New Roman" w:hint="eastAsia"/>
                <w:sz w:val="18"/>
                <w:szCs w:val="18"/>
              </w:rPr>
              <w:t>,</w:t>
            </w:r>
            <w:r w:rsidR="00B535B9">
              <w:rPr>
                <w:rFonts w:ascii="Calibri" w:hAnsi="Calibri" w:cs="Times New Roman" w:hint="eastAsia"/>
                <w:sz w:val="18"/>
                <w:szCs w:val="18"/>
              </w:rPr>
              <w:t>589</w:t>
            </w:r>
          </w:p>
        </w:tc>
      </w:tr>
      <w:tr w:rsidR="00AD6A73" w:rsidRPr="00C61204" w:rsidTr="00BE0530">
        <w:trPr>
          <w:trHeight w:val="270"/>
          <w:jc w:val="center"/>
        </w:trPr>
        <w:tc>
          <w:tcPr>
            <w:tcW w:w="826" w:type="pct"/>
            <w:shd w:val="clear" w:color="auto" w:fill="C2D69B" w:themeFill="accent3" w:themeFillTint="99"/>
            <w:vAlign w:val="center"/>
          </w:tcPr>
          <w:p w:rsidR="00AD6A73" w:rsidRPr="00C61204" w:rsidRDefault="00AD6A73" w:rsidP="00BE0530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Real Estate (D)</w:t>
            </w:r>
          </w:p>
        </w:tc>
        <w:tc>
          <w:tcPr>
            <w:tcW w:w="428" w:type="pct"/>
            <w:vAlign w:val="bottom"/>
          </w:tcPr>
          <w:p w:rsidR="00AD6A73" w:rsidRPr="00E07233" w:rsidRDefault="00AD6A73" w:rsidP="00AD6A73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20,383</w:t>
            </w:r>
          </w:p>
        </w:tc>
        <w:tc>
          <w:tcPr>
            <w:tcW w:w="624" w:type="pct"/>
            <w:vAlign w:val="bottom"/>
          </w:tcPr>
          <w:p w:rsidR="00AD6A73" w:rsidRPr="00E07233" w:rsidRDefault="00AD6A73" w:rsidP="00BE0530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470</w:t>
            </w:r>
          </w:p>
        </w:tc>
        <w:tc>
          <w:tcPr>
            <w:tcW w:w="624" w:type="pct"/>
            <w:vAlign w:val="bottom"/>
          </w:tcPr>
          <w:p w:rsidR="00AD6A73" w:rsidRPr="00E07233" w:rsidRDefault="00AD6A73" w:rsidP="00BE0530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273</w:t>
            </w:r>
          </w:p>
        </w:tc>
        <w:tc>
          <w:tcPr>
            <w:tcW w:w="625" w:type="pct"/>
            <w:vAlign w:val="bottom"/>
          </w:tcPr>
          <w:p w:rsidR="00AD6A73" w:rsidRPr="00E07233" w:rsidRDefault="00AD6A73" w:rsidP="00AD6A73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+197</w:t>
            </w:r>
          </w:p>
        </w:tc>
        <w:tc>
          <w:tcPr>
            <w:tcW w:w="625" w:type="pct"/>
            <w:vAlign w:val="bottom"/>
          </w:tcPr>
          <w:p w:rsidR="00AD6A73" w:rsidRPr="00E07233" w:rsidRDefault="00B535B9" w:rsidP="00BE0530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+127</w:t>
            </w:r>
          </w:p>
        </w:tc>
        <w:tc>
          <w:tcPr>
            <w:tcW w:w="625" w:type="pct"/>
            <w:vAlign w:val="bottom"/>
          </w:tcPr>
          <w:p w:rsidR="00AD6A73" w:rsidRPr="00E07233" w:rsidRDefault="00AD6A73" w:rsidP="00B535B9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+</w:t>
            </w:r>
            <w:r w:rsidR="00B535B9">
              <w:rPr>
                <w:rFonts w:ascii="Calibri" w:hAnsi="Calibri" w:cs="Times New Roman" w:hint="eastAsia"/>
                <w:sz w:val="18"/>
                <w:szCs w:val="18"/>
              </w:rPr>
              <w:t>324</w:t>
            </w:r>
          </w:p>
        </w:tc>
        <w:tc>
          <w:tcPr>
            <w:tcW w:w="623" w:type="pct"/>
            <w:vAlign w:val="bottom"/>
          </w:tcPr>
          <w:p w:rsidR="00AD6A73" w:rsidRPr="00E07233" w:rsidRDefault="00AD6A73" w:rsidP="00B535B9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20,</w:t>
            </w:r>
            <w:r w:rsidR="00B535B9">
              <w:rPr>
                <w:rFonts w:ascii="Calibri" w:hAnsi="Calibri" w:cs="Times New Roman" w:hint="eastAsia"/>
                <w:sz w:val="18"/>
                <w:szCs w:val="18"/>
              </w:rPr>
              <w:t>707</w:t>
            </w:r>
          </w:p>
        </w:tc>
      </w:tr>
      <w:tr w:rsidR="00AD6A73" w:rsidRPr="00C61204" w:rsidTr="00BE0530">
        <w:trPr>
          <w:trHeight w:val="273"/>
          <w:jc w:val="center"/>
        </w:trPr>
        <w:tc>
          <w:tcPr>
            <w:tcW w:w="826" w:type="pct"/>
            <w:shd w:val="clear" w:color="auto" w:fill="C2D69B" w:themeFill="accent3" w:themeFillTint="99"/>
            <w:vAlign w:val="center"/>
          </w:tcPr>
          <w:p w:rsidR="00AD6A73" w:rsidRPr="00C61204" w:rsidRDefault="00AD6A73" w:rsidP="00BE0530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Fund of Funds (E)</w:t>
            </w:r>
          </w:p>
        </w:tc>
        <w:tc>
          <w:tcPr>
            <w:tcW w:w="428" w:type="pct"/>
            <w:vAlign w:val="bottom"/>
          </w:tcPr>
          <w:p w:rsidR="00AD6A73" w:rsidRPr="00E07233" w:rsidRDefault="00AD6A73" w:rsidP="00AD6A73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9,591</w:t>
            </w:r>
          </w:p>
        </w:tc>
        <w:tc>
          <w:tcPr>
            <w:tcW w:w="624" w:type="pct"/>
            <w:vAlign w:val="bottom"/>
          </w:tcPr>
          <w:p w:rsidR="00AD6A73" w:rsidRPr="00E07233" w:rsidRDefault="00AD6A73" w:rsidP="00AD6A73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1,138</w:t>
            </w:r>
          </w:p>
        </w:tc>
        <w:tc>
          <w:tcPr>
            <w:tcW w:w="624" w:type="pct"/>
            <w:vAlign w:val="bottom"/>
          </w:tcPr>
          <w:p w:rsidR="00AD6A73" w:rsidRPr="00E07233" w:rsidRDefault="00AD6A73" w:rsidP="00BE0530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528</w:t>
            </w:r>
          </w:p>
        </w:tc>
        <w:tc>
          <w:tcPr>
            <w:tcW w:w="625" w:type="pct"/>
            <w:vAlign w:val="bottom"/>
          </w:tcPr>
          <w:p w:rsidR="00AD6A73" w:rsidRPr="00E07233" w:rsidRDefault="00AD6A73" w:rsidP="00AD6A73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+610</w:t>
            </w:r>
          </w:p>
        </w:tc>
        <w:tc>
          <w:tcPr>
            <w:tcW w:w="625" w:type="pct"/>
            <w:vAlign w:val="bottom"/>
          </w:tcPr>
          <w:p w:rsidR="00AD6A73" w:rsidRPr="00E07233" w:rsidRDefault="00B535B9" w:rsidP="00BE0530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+114</w:t>
            </w:r>
          </w:p>
        </w:tc>
        <w:tc>
          <w:tcPr>
            <w:tcW w:w="625" w:type="pct"/>
            <w:vAlign w:val="bottom"/>
          </w:tcPr>
          <w:p w:rsidR="00AD6A73" w:rsidRPr="00E07233" w:rsidRDefault="00AD6A73" w:rsidP="00B535B9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+</w:t>
            </w:r>
            <w:r w:rsidR="00B535B9">
              <w:rPr>
                <w:rFonts w:ascii="Calibri" w:hAnsi="Calibri" w:cs="Times New Roman" w:hint="eastAsia"/>
                <w:sz w:val="18"/>
                <w:szCs w:val="18"/>
              </w:rPr>
              <w:t>724</w:t>
            </w:r>
          </w:p>
        </w:tc>
        <w:tc>
          <w:tcPr>
            <w:tcW w:w="623" w:type="pct"/>
            <w:vAlign w:val="bottom"/>
          </w:tcPr>
          <w:p w:rsidR="00AD6A73" w:rsidRPr="00E07233" w:rsidRDefault="00B535B9" w:rsidP="00B535B9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10</w:t>
            </w:r>
            <w:r w:rsidR="00AD6A73">
              <w:rPr>
                <w:rFonts w:ascii="Calibri" w:hAnsi="Calibri" w:cs="Times New Roman" w:hint="eastAsia"/>
                <w:sz w:val="18"/>
                <w:szCs w:val="18"/>
              </w:rPr>
              <w:t>,</w:t>
            </w:r>
            <w:r>
              <w:rPr>
                <w:rFonts w:ascii="Calibri" w:hAnsi="Calibri" w:cs="Times New Roman" w:hint="eastAsia"/>
                <w:sz w:val="18"/>
                <w:szCs w:val="18"/>
              </w:rPr>
              <w:t>315</w:t>
            </w:r>
          </w:p>
        </w:tc>
      </w:tr>
      <w:tr w:rsidR="00AD6A73" w:rsidRPr="00C61204" w:rsidTr="00BE0530">
        <w:trPr>
          <w:trHeight w:val="264"/>
          <w:jc w:val="center"/>
        </w:trPr>
        <w:tc>
          <w:tcPr>
            <w:tcW w:w="826" w:type="pct"/>
            <w:shd w:val="clear" w:color="auto" w:fill="C2D69B" w:themeFill="accent3" w:themeFillTint="99"/>
            <w:vAlign w:val="center"/>
          </w:tcPr>
          <w:p w:rsidR="00AD6A73" w:rsidRPr="00C61204" w:rsidRDefault="00AD6A73" w:rsidP="00BE0530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Special Assets (F)</w:t>
            </w:r>
          </w:p>
        </w:tc>
        <w:tc>
          <w:tcPr>
            <w:tcW w:w="428" w:type="pct"/>
            <w:vAlign w:val="bottom"/>
          </w:tcPr>
          <w:p w:rsidR="00AD6A73" w:rsidRPr="00E07233" w:rsidRDefault="00AD6A73" w:rsidP="00AD6A73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22,801</w:t>
            </w:r>
          </w:p>
        </w:tc>
        <w:tc>
          <w:tcPr>
            <w:tcW w:w="624" w:type="pct"/>
            <w:vAlign w:val="bottom"/>
          </w:tcPr>
          <w:p w:rsidR="00AD6A73" w:rsidRPr="00E07233" w:rsidRDefault="00AD6A73" w:rsidP="00BE0530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371</w:t>
            </w:r>
          </w:p>
        </w:tc>
        <w:tc>
          <w:tcPr>
            <w:tcW w:w="624" w:type="pct"/>
            <w:vAlign w:val="bottom"/>
          </w:tcPr>
          <w:p w:rsidR="00AD6A73" w:rsidRPr="00E07233" w:rsidRDefault="00AD6A73" w:rsidP="00BE0530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198</w:t>
            </w:r>
          </w:p>
        </w:tc>
        <w:tc>
          <w:tcPr>
            <w:tcW w:w="625" w:type="pct"/>
            <w:vAlign w:val="bottom"/>
          </w:tcPr>
          <w:p w:rsidR="00AD6A73" w:rsidRPr="00E07233" w:rsidRDefault="00AD6A73" w:rsidP="00AD6A73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+173</w:t>
            </w:r>
          </w:p>
        </w:tc>
        <w:tc>
          <w:tcPr>
            <w:tcW w:w="625" w:type="pct"/>
            <w:vAlign w:val="bottom"/>
          </w:tcPr>
          <w:p w:rsidR="00AD6A73" w:rsidRPr="00E07233" w:rsidRDefault="00B535B9" w:rsidP="00BE0530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 w:rsidRPr="00E07233">
              <w:rPr>
                <w:rFonts w:ascii="Calibri" w:hAnsi="Calibri" w:cs="Times New Roman"/>
                <w:sz w:val="18"/>
                <w:szCs w:val="18"/>
              </w:rPr>
              <w:t>Δ</w:t>
            </w:r>
            <w:r>
              <w:rPr>
                <w:rFonts w:ascii="Calibri" w:hAnsi="Calibri" w:cs="Times New Roman" w:hint="eastAsia"/>
                <w:sz w:val="18"/>
                <w:szCs w:val="18"/>
              </w:rPr>
              <w:t>8</w:t>
            </w:r>
          </w:p>
        </w:tc>
        <w:tc>
          <w:tcPr>
            <w:tcW w:w="625" w:type="pct"/>
            <w:vAlign w:val="bottom"/>
          </w:tcPr>
          <w:p w:rsidR="00AD6A73" w:rsidRPr="00E07233" w:rsidRDefault="00AD6A73" w:rsidP="00B535B9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+1</w:t>
            </w:r>
            <w:r w:rsidR="00B535B9">
              <w:rPr>
                <w:rFonts w:ascii="Calibri" w:hAnsi="Calibri" w:cs="Times New Roman" w:hint="eastAsia"/>
                <w:sz w:val="18"/>
                <w:szCs w:val="18"/>
              </w:rPr>
              <w:t>65</w:t>
            </w:r>
          </w:p>
        </w:tc>
        <w:tc>
          <w:tcPr>
            <w:tcW w:w="623" w:type="pct"/>
            <w:vAlign w:val="bottom"/>
          </w:tcPr>
          <w:p w:rsidR="00AD6A73" w:rsidRPr="00E07233" w:rsidRDefault="00AD6A73" w:rsidP="00B535B9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22,</w:t>
            </w:r>
            <w:r w:rsidR="00B535B9">
              <w:rPr>
                <w:rFonts w:ascii="Calibri" w:hAnsi="Calibri" w:cs="Times New Roman" w:hint="eastAsia"/>
                <w:sz w:val="18"/>
                <w:szCs w:val="18"/>
              </w:rPr>
              <w:t>966</w:t>
            </w:r>
          </w:p>
        </w:tc>
      </w:tr>
      <w:tr w:rsidR="00AD6A73" w:rsidRPr="00C61204" w:rsidTr="00BE0530">
        <w:trPr>
          <w:trHeight w:val="423"/>
          <w:jc w:val="center"/>
        </w:trPr>
        <w:tc>
          <w:tcPr>
            <w:tcW w:w="826" w:type="pct"/>
            <w:shd w:val="clear" w:color="auto" w:fill="C2D69B" w:themeFill="accent3" w:themeFillTint="99"/>
            <w:vAlign w:val="center"/>
          </w:tcPr>
          <w:p w:rsidR="00AD6A73" w:rsidRDefault="00AD6A73" w:rsidP="00BE0530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Total</w:t>
            </w:r>
          </w:p>
          <w:p w:rsidR="00AD6A73" w:rsidRPr="00C61204" w:rsidRDefault="00AD6A73" w:rsidP="00BE0530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(A+B+C+D+E+F)</w:t>
            </w:r>
          </w:p>
        </w:tc>
        <w:tc>
          <w:tcPr>
            <w:tcW w:w="428" w:type="pct"/>
            <w:vAlign w:val="bottom"/>
          </w:tcPr>
          <w:p w:rsidR="00AD6A73" w:rsidRPr="00E07233" w:rsidRDefault="00AD6A73" w:rsidP="00AD6A73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327,464</w:t>
            </w:r>
          </w:p>
        </w:tc>
        <w:tc>
          <w:tcPr>
            <w:tcW w:w="624" w:type="pct"/>
            <w:vAlign w:val="bottom"/>
          </w:tcPr>
          <w:p w:rsidR="00AD6A73" w:rsidRPr="00E07233" w:rsidRDefault="00AD6A73" w:rsidP="00AD6A73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49,920</w:t>
            </w:r>
          </w:p>
        </w:tc>
        <w:tc>
          <w:tcPr>
            <w:tcW w:w="624" w:type="pct"/>
            <w:vAlign w:val="bottom"/>
          </w:tcPr>
          <w:p w:rsidR="00AD6A73" w:rsidRPr="00E07233" w:rsidRDefault="00AD6A73" w:rsidP="00AD6A73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55,088</w:t>
            </w:r>
          </w:p>
        </w:tc>
        <w:tc>
          <w:tcPr>
            <w:tcW w:w="625" w:type="pct"/>
            <w:vAlign w:val="bottom"/>
          </w:tcPr>
          <w:p w:rsidR="00AD6A73" w:rsidRPr="00E07233" w:rsidRDefault="00AD6A73" w:rsidP="00AD6A73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 w:rsidRPr="00E07233">
              <w:rPr>
                <w:rFonts w:ascii="Calibri" w:hAnsi="Calibri" w:cs="Times New Roman"/>
                <w:sz w:val="18"/>
                <w:szCs w:val="18"/>
              </w:rPr>
              <w:t>Δ</w:t>
            </w:r>
            <w:r>
              <w:rPr>
                <w:rFonts w:ascii="Calibri" w:hAnsi="Calibri" w:cs="Times New Roman" w:hint="eastAsia"/>
                <w:sz w:val="18"/>
                <w:szCs w:val="18"/>
              </w:rPr>
              <w:t xml:space="preserve"> 5,168</w:t>
            </w:r>
          </w:p>
        </w:tc>
        <w:tc>
          <w:tcPr>
            <w:tcW w:w="625" w:type="pct"/>
            <w:vAlign w:val="bottom"/>
          </w:tcPr>
          <w:p w:rsidR="00AD6A73" w:rsidRPr="00E07233" w:rsidRDefault="00B535B9" w:rsidP="00BE0530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+4</w:t>
            </w:r>
            <w:r w:rsidR="00AD6A73">
              <w:rPr>
                <w:rFonts w:ascii="Calibri" w:hAnsi="Calibri" w:cs="Times New Roman" w:hint="eastAsia"/>
                <w:sz w:val="18"/>
                <w:szCs w:val="18"/>
              </w:rPr>
              <w:t>17</w:t>
            </w:r>
          </w:p>
        </w:tc>
        <w:tc>
          <w:tcPr>
            <w:tcW w:w="625" w:type="pct"/>
            <w:vAlign w:val="bottom"/>
          </w:tcPr>
          <w:p w:rsidR="00AD6A73" w:rsidRPr="00E07233" w:rsidRDefault="00B535B9" w:rsidP="00B535B9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 w:rsidRPr="00E07233">
              <w:rPr>
                <w:rFonts w:ascii="Calibri" w:hAnsi="Calibri" w:cs="Times New Roman"/>
                <w:sz w:val="18"/>
                <w:szCs w:val="18"/>
              </w:rPr>
              <w:t>Δ</w:t>
            </w:r>
            <w:r>
              <w:rPr>
                <w:rFonts w:ascii="Calibri" w:hAnsi="Calibri" w:cs="Times New Roman" w:hint="eastAsia"/>
                <w:sz w:val="18"/>
                <w:szCs w:val="18"/>
              </w:rPr>
              <w:t xml:space="preserve"> 4,751</w:t>
            </w:r>
          </w:p>
        </w:tc>
        <w:tc>
          <w:tcPr>
            <w:tcW w:w="623" w:type="pct"/>
            <w:vAlign w:val="bottom"/>
          </w:tcPr>
          <w:p w:rsidR="00AD6A73" w:rsidRPr="00E07233" w:rsidRDefault="00AD6A73" w:rsidP="00B535B9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32</w:t>
            </w:r>
            <w:r w:rsidR="00B535B9">
              <w:rPr>
                <w:rFonts w:ascii="Calibri" w:hAnsi="Calibri" w:cs="Times New Roman" w:hint="eastAsia"/>
                <w:sz w:val="18"/>
                <w:szCs w:val="18"/>
              </w:rPr>
              <w:t>2</w:t>
            </w:r>
            <w:r>
              <w:rPr>
                <w:rFonts w:ascii="Calibri" w:hAnsi="Calibri" w:cs="Times New Roman" w:hint="eastAsia"/>
                <w:sz w:val="18"/>
                <w:szCs w:val="18"/>
              </w:rPr>
              <w:t>,</w:t>
            </w:r>
            <w:r w:rsidR="00B535B9">
              <w:rPr>
                <w:rFonts w:ascii="Calibri" w:hAnsi="Calibri" w:cs="Times New Roman" w:hint="eastAsia"/>
                <w:sz w:val="18"/>
                <w:szCs w:val="18"/>
              </w:rPr>
              <w:t>713</w:t>
            </w:r>
          </w:p>
        </w:tc>
      </w:tr>
    </w:tbl>
    <w:p w:rsidR="00AD6A73" w:rsidRPr="00C61204" w:rsidRDefault="00AD6A73" w:rsidP="00AD6A73">
      <w:pPr>
        <w:widowControl/>
        <w:wordWrap/>
        <w:autoSpaceDE/>
        <w:autoSpaceDN/>
        <w:rPr>
          <w:rFonts w:ascii="Times New Roman" w:hAnsi="Times New Roman" w:cs="Times New Roman"/>
          <w:sz w:val="12"/>
          <w:szCs w:val="16"/>
        </w:rPr>
      </w:pPr>
    </w:p>
    <w:p w:rsidR="00AD6A73" w:rsidRDefault="00AD6A73" w:rsidP="00AD6A73">
      <w:pPr>
        <w:widowControl/>
        <w:wordWrap/>
        <w:autoSpaceDE/>
        <w:autoSpaceDN/>
        <w:rPr>
          <w:rFonts w:ascii="Times New Roman" w:hAnsi="Times New Roman" w:cs="Times New Roman"/>
          <w:sz w:val="16"/>
          <w:szCs w:val="16"/>
        </w:rPr>
      </w:pPr>
      <w:r w:rsidRPr="00C61204">
        <w:rPr>
          <w:rFonts w:ascii="Times New Roman" w:hAnsi="Times New Roman" w:cs="Times New Roman"/>
          <w:sz w:val="16"/>
          <w:szCs w:val="16"/>
        </w:rPr>
        <w:t xml:space="preserve">Note: </w:t>
      </w:r>
      <w:r w:rsidRPr="00C61204">
        <w:rPr>
          <w:rFonts w:ascii="Times New Roman" w:hAnsi="Times New Roman" w:cs="Times New Roman" w:hint="eastAsia"/>
          <w:sz w:val="16"/>
          <w:szCs w:val="16"/>
        </w:rPr>
        <w:t xml:space="preserve">Valuation Change = NAV Change </w:t>
      </w:r>
      <w:r w:rsidRPr="00C61204">
        <w:rPr>
          <w:rFonts w:ascii="Times New Roman" w:hAnsi="Times New Roman" w:cs="Times New Roman"/>
          <w:sz w:val="16"/>
          <w:szCs w:val="16"/>
        </w:rPr>
        <w:t>–</w:t>
      </w:r>
      <w:r w:rsidRPr="00C61204">
        <w:rPr>
          <w:rFonts w:ascii="Times New Roman" w:hAnsi="Times New Roman" w:cs="Times New Roman" w:hint="eastAsia"/>
          <w:sz w:val="16"/>
          <w:szCs w:val="16"/>
        </w:rPr>
        <w:t xml:space="preserve"> Fund Flow Change</w:t>
      </w:r>
    </w:p>
    <w:p w:rsidR="00AD6A73" w:rsidRPr="00C61204" w:rsidRDefault="00AD6A73" w:rsidP="00AD6A73">
      <w:pPr>
        <w:widowControl/>
        <w:wordWrap/>
        <w:autoSpaceDE/>
        <w:autoSpaceDN/>
        <w:ind w:firstLineChars="250" w:firstLine="4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 w:hint="eastAsia"/>
          <w:sz w:val="16"/>
          <w:szCs w:val="16"/>
        </w:rPr>
        <w:t>Securities = Equity + Hybrid Equity + Hybrid Bond + Bond</w:t>
      </w:r>
      <w:r w:rsidRPr="00C61204">
        <w:rPr>
          <w:rFonts w:ascii="Times New Roman" w:hAnsi="Times New Roman" w:cs="Times New Roman" w:hint="eastAsia"/>
          <w:sz w:val="16"/>
          <w:szCs w:val="16"/>
        </w:rPr>
        <w:t xml:space="preserve"> </w:t>
      </w:r>
    </w:p>
    <w:p w:rsidR="00AD6A73" w:rsidRPr="00C61204" w:rsidRDefault="00AD6A73" w:rsidP="00AD6A73">
      <w:pPr>
        <w:widowControl/>
        <w:wordWrap/>
        <w:autoSpaceDE/>
        <w:autoSpaceDN/>
        <w:ind w:firstLineChars="250" w:firstLine="400"/>
        <w:rPr>
          <w:rFonts w:ascii="Times New Roman" w:hAnsi="Times New Roman" w:cs="Times New Roman"/>
          <w:sz w:val="16"/>
          <w:szCs w:val="16"/>
        </w:rPr>
      </w:pPr>
      <w:r w:rsidRPr="00C61204">
        <w:rPr>
          <w:rFonts w:ascii="Times New Roman" w:hAnsi="Times New Roman" w:cs="Times New Roman" w:hint="eastAsia"/>
          <w:sz w:val="16"/>
          <w:szCs w:val="16"/>
        </w:rPr>
        <w:t>NAV</w:t>
      </w:r>
      <w:r w:rsidRPr="00C61204">
        <w:rPr>
          <w:rFonts w:ascii="Times New Roman" w:hAnsi="Times New Roman" w:cs="Times New Roman"/>
          <w:sz w:val="16"/>
          <w:szCs w:val="16"/>
        </w:rPr>
        <w:t xml:space="preserve"> includes ETF</w:t>
      </w:r>
      <w:r w:rsidRPr="00C61204">
        <w:rPr>
          <w:rFonts w:ascii="Times New Roman" w:hAnsi="Times New Roman" w:cs="Times New Roman" w:hint="eastAsia"/>
          <w:sz w:val="16"/>
          <w:szCs w:val="16"/>
        </w:rPr>
        <w:t>s</w:t>
      </w:r>
      <w:r w:rsidRPr="00C61204">
        <w:rPr>
          <w:rFonts w:ascii="Times New Roman" w:hAnsi="Times New Roman" w:cs="Times New Roman"/>
          <w:sz w:val="16"/>
          <w:szCs w:val="16"/>
        </w:rPr>
        <w:t xml:space="preserve">, while </w:t>
      </w:r>
      <w:r w:rsidRPr="00C61204">
        <w:rPr>
          <w:rFonts w:ascii="Times New Roman" w:hAnsi="Times New Roman" w:cs="Times New Roman" w:hint="eastAsia"/>
          <w:sz w:val="16"/>
          <w:szCs w:val="16"/>
        </w:rPr>
        <w:t xml:space="preserve">fund flow data </w:t>
      </w:r>
      <w:r w:rsidRPr="00C61204">
        <w:rPr>
          <w:rFonts w:ascii="Times New Roman" w:hAnsi="Times New Roman" w:cs="Times New Roman"/>
          <w:sz w:val="16"/>
          <w:szCs w:val="16"/>
        </w:rPr>
        <w:t>exclude ETF</w:t>
      </w:r>
      <w:r w:rsidRPr="00C61204">
        <w:rPr>
          <w:rFonts w:ascii="Times New Roman" w:hAnsi="Times New Roman" w:cs="Times New Roman" w:hint="eastAsia"/>
          <w:sz w:val="16"/>
          <w:szCs w:val="16"/>
        </w:rPr>
        <w:t xml:space="preserve">s. </w:t>
      </w:r>
    </w:p>
    <w:p w:rsidR="00AD6A73" w:rsidRPr="00C61204" w:rsidRDefault="00AD6A73" w:rsidP="00AD6A73">
      <w:pPr>
        <w:ind w:left="840" w:hangingChars="350" w:hanging="840"/>
        <w:jc w:val="left"/>
        <w:rPr>
          <w:rFonts w:ascii="Times New Roman" w:hAnsi="Times New Roman" w:cs="Times New Roman"/>
          <w:sz w:val="24"/>
          <w:szCs w:val="24"/>
        </w:rPr>
      </w:pPr>
    </w:p>
    <w:p w:rsidR="002707E2" w:rsidRPr="00AD6A73" w:rsidRDefault="002707E2" w:rsidP="007049F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707E2" w:rsidRDefault="002707E2" w:rsidP="007049F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535B9" w:rsidRDefault="00B535B9" w:rsidP="007049F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535B9" w:rsidRDefault="00B535B9" w:rsidP="007049F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049F6" w:rsidRDefault="007049F6" w:rsidP="007049F6">
      <w:pPr>
        <w:rPr>
          <w:rFonts w:ascii="Times New Roman" w:hAnsi="Times New Roman" w:cs="Times New Roman"/>
          <w:szCs w:val="24"/>
        </w:rPr>
      </w:pPr>
    </w:p>
    <w:p w:rsidR="00B604E1" w:rsidRPr="001240FD" w:rsidRDefault="003908DC" w:rsidP="001240FD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240FD">
        <w:rPr>
          <w:rFonts w:ascii="Times New Roman" w:hAnsi="Times New Roman" w:cs="Times New Roman" w:hint="eastAsia"/>
          <w:b/>
          <w:sz w:val="24"/>
          <w:szCs w:val="24"/>
        </w:rPr>
        <w:t>[</w:t>
      </w:r>
      <w:r w:rsidR="00B9027F">
        <w:rPr>
          <w:rFonts w:ascii="Times New Roman" w:hAnsi="Times New Roman" w:cs="Times New Roman" w:hint="eastAsia"/>
          <w:b/>
          <w:sz w:val="24"/>
          <w:szCs w:val="24"/>
        </w:rPr>
        <w:t xml:space="preserve">Feature </w:t>
      </w:r>
      <w:r w:rsidR="00063F6B">
        <w:rPr>
          <w:rFonts w:ascii="Times New Roman" w:hAnsi="Times New Roman" w:cs="Times New Roman" w:hint="eastAsia"/>
          <w:b/>
          <w:sz w:val="24"/>
          <w:szCs w:val="24"/>
        </w:rPr>
        <w:t>I</w:t>
      </w:r>
      <w:r w:rsidRPr="001240FD">
        <w:rPr>
          <w:rFonts w:ascii="Times New Roman" w:hAnsi="Times New Roman" w:cs="Times New Roman" w:hint="eastAsia"/>
          <w:b/>
          <w:sz w:val="24"/>
          <w:szCs w:val="24"/>
        </w:rPr>
        <w:t xml:space="preserve">] </w:t>
      </w:r>
      <w:r w:rsidR="00567FAB" w:rsidRPr="001240FD">
        <w:rPr>
          <w:rFonts w:ascii="Times New Roman" w:hAnsi="Times New Roman" w:cs="Times New Roman" w:hint="eastAsia"/>
          <w:b/>
          <w:sz w:val="24"/>
          <w:szCs w:val="24"/>
        </w:rPr>
        <w:t>Growth of income funds led by overseas bond funds</w:t>
      </w:r>
    </w:p>
    <w:p w:rsidR="00B604E1" w:rsidRDefault="00B604E1" w:rsidP="003908DC">
      <w:pPr>
        <w:pStyle w:val="a3"/>
        <w:ind w:leftChars="0" w:left="76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67FAB" w:rsidRPr="00E5346E" w:rsidRDefault="00B604E1" w:rsidP="00E5346E">
      <w:pPr>
        <w:ind w:left="7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5346E">
        <w:rPr>
          <w:rFonts w:ascii="Times New Roman" w:hAnsi="Times New Roman" w:cs="Times New Roman" w:hint="eastAsia"/>
          <w:sz w:val="24"/>
          <w:szCs w:val="24"/>
        </w:rPr>
        <w:t>Th</w:t>
      </w:r>
      <w:r w:rsidR="00567FAB" w:rsidRPr="00E5346E">
        <w:rPr>
          <w:rFonts w:ascii="Times New Roman" w:hAnsi="Times New Roman" w:cs="Times New Roman" w:hint="eastAsia"/>
          <w:sz w:val="24"/>
          <w:szCs w:val="24"/>
        </w:rPr>
        <w:t xml:space="preserve">e recent </w:t>
      </w:r>
      <w:r w:rsidR="00B76484" w:rsidRPr="00E5346E">
        <w:rPr>
          <w:rFonts w:ascii="Times New Roman" w:hAnsi="Times New Roman" w:cs="Times New Roman" w:hint="eastAsia"/>
          <w:sz w:val="24"/>
          <w:szCs w:val="24"/>
        </w:rPr>
        <w:t>rise</w:t>
      </w:r>
      <w:r w:rsidR="00567FAB" w:rsidRPr="00E5346E">
        <w:rPr>
          <w:rFonts w:ascii="Times New Roman" w:hAnsi="Times New Roman" w:cs="Times New Roman" w:hint="eastAsia"/>
          <w:sz w:val="24"/>
          <w:szCs w:val="24"/>
        </w:rPr>
        <w:t xml:space="preserve"> of income funds reflects market conditions that </w:t>
      </w:r>
      <w:r w:rsidR="00141961" w:rsidRPr="00E5346E">
        <w:rPr>
          <w:rFonts w:ascii="Times New Roman" w:hAnsi="Times New Roman" w:cs="Times New Roman" w:hint="eastAsia"/>
          <w:sz w:val="24"/>
          <w:szCs w:val="24"/>
        </w:rPr>
        <w:t xml:space="preserve">show a </w:t>
      </w:r>
      <w:r w:rsidR="00567FAB" w:rsidRPr="00E5346E">
        <w:rPr>
          <w:rFonts w:ascii="Times New Roman" w:hAnsi="Times New Roman" w:cs="Times New Roman" w:hint="eastAsia"/>
          <w:sz w:val="24"/>
          <w:szCs w:val="24"/>
        </w:rPr>
        <w:t xml:space="preserve">lack </w:t>
      </w:r>
      <w:r w:rsidR="00141961" w:rsidRPr="00E5346E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="00567FAB" w:rsidRPr="00E5346E">
        <w:rPr>
          <w:rFonts w:ascii="Times New Roman" w:hAnsi="Times New Roman" w:cs="Times New Roman" w:hint="eastAsia"/>
          <w:sz w:val="24"/>
          <w:szCs w:val="24"/>
        </w:rPr>
        <w:t xml:space="preserve">an </w:t>
      </w:r>
      <w:r w:rsidR="00567FAB" w:rsidRPr="00E5346E">
        <w:rPr>
          <w:rFonts w:ascii="Times New Roman" w:hAnsi="Times New Roman" w:cs="Times New Roman"/>
          <w:sz w:val="24"/>
          <w:szCs w:val="24"/>
        </w:rPr>
        <w:t>appropriate</w:t>
      </w:r>
      <w:r w:rsidR="00567FAB" w:rsidRPr="00E5346E">
        <w:rPr>
          <w:rFonts w:ascii="Times New Roman" w:hAnsi="Times New Roman" w:cs="Times New Roman" w:hint="eastAsia"/>
          <w:sz w:val="24"/>
          <w:szCs w:val="24"/>
        </w:rPr>
        <w:t xml:space="preserve"> investment </w:t>
      </w:r>
      <w:r w:rsidR="007146B4" w:rsidRPr="00E5346E">
        <w:rPr>
          <w:rFonts w:ascii="Times New Roman" w:hAnsi="Times New Roman" w:cs="Times New Roman" w:hint="eastAsia"/>
          <w:sz w:val="24"/>
          <w:szCs w:val="24"/>
        </w:rPr>
        <w:t>destination</w:t>
      </w:r>
      <w:r w:rsidR="00B76484" w:rsidRPr="00E5346E">
        <w:rPr>
          <w:rFonts w:ascii="Times New Roman" w:hAnsi="Times New Roman" w:cs="Times New Roman" w:hint="eastAsia"/>
          <w:sz w:val="24"/>
          <w:szCs w:val="24"/>
        </w:rPr>
        <w:t>.</w:t>
      </w:r>
      <w:r w:rsidR="00567FAB" w:rsidRPr="00E5346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76484" w:rsidRPr="00E5346E">
        <w:rPr>
          <w:rFonts w:ascii="Times New Roman" w:hAnsi="Times New Roman" w:cs="Times New Roman" w:hint="eastAsia"/>
          <w:sz w:val="24"/>
          <w:szCs w:val="24"/>
        </w:rPr>
        <w:t>S</w:t>
      </w:r>
      <w:r w:rsidR="00567FAB" w:rsidRPr="00E5346E">
        <w:rPr>
          <w:rFonts w:ascii="Times New Roman" w:hAnsi="Times New Roman" w:cs="Times New Roman" w:hint="eastAsia"/>
          <w:sz w:val="24"/>
          <w:szCs w:val="24"/>
        </w:rPr>
        <w:t>uch trends are expected to continue for the time being due to uncertaint</w:t>
      </w:r>
      <w:r w:rsidR="00501896" w:rsidRPr="00E5346E">
        <w:rPr>
          <w:rFonts w:ascii="Times New Roman" w:hAnsi="Times New Roman" w:cs="Times New Roman" w:hint="eastAsia"/>
          <w:sz w:val="24"/>
          <w:szCs w:val="24"/>
        </w:rPr>
        <w:t>ies</w:t>
      </w:r>
      <w:r w:rsidR="00567FAB" w:rsidRPr="00E5346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67FAB" w:rsidRPr="00E5346E">
        <w:rPr>
          <w:rFonts w:ascii="Times New Roman" w:hAnsi="Times New Roman" w:cs="Times New Roman"/>
          <w:sz w:val="24"/>
          <w:szCs w:val="24"/>
        </w:rPr>
        <w:t>surrounding</w:t>
      </w:r>
      <w:r w:rsidR="00567FAB" w:rsidRPr="00E5346E">
        <w:rPr>
          <w:rFonts w:ascii="Times New Roman" w:hAnsi="Times New Roman" w:cs="Times New Roman" w:hint="eastAsia"/>
          <w:sz w:val="24"/>
          <w:szCs w:val="24"/>
        </w:rPr>
        <w:t xml:space="preserve"> the stock market. </w:t>
      </w:r>
    </w:p>
    <w:p w:rsidR="003908DC" w:rsidRPr="007146B4" w:rsidRDefault="003908DC" w:rsidP="003908D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35AA6" w:rsidRDefault="00567FAB" w:rsidP="00B604E1">
      <w:pPr>
        <w:pStyle w:val="a3"/>
        <w:numPr>
          <w:ilvl w:val="0"/>
          <w:numId w:val="9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B604E1">
        <w:rPr>
          <w:rFonts w:ascii="Times New Roman" w:hAnsi="Times New Roman" w:cs="Times New Roman" w:hint="eastAsia"/>
          <w:sz w:val="24"/>
          <w:szCs w:val="24"/>
        </w:rPr>
        <w:t xml:space="preserve">(Growth of </w:t>
      </w:r>
      <w:r w:rsidR="00591EE7">
        <w:rPr>
          <w:rFonts w:ascii="Times New Roman" w:hAnsi="Times New Roman" w:cs="Times New Roman" w:hint="eastAsia"/>
          <w:sz w:val="24"/>
          <w:szCs w:val="24"/>
        </w:rPr>
        <w:t>I</w:t>
      </w:r>
      <w:r w:rsidRPr="00B604E1">
        <w:rPr>
          <w:rFonts w:ascii="Times New Roman" w:hAnsi="Times New Roman" w:cs="Times New Roman" w:hint="eastAsia"/>
          <w:sz w:val="24"/>
          <w:szCs w:val="24"/>
        </w:rPr>
        <w:t xml:space="preserve">ncome </w:t>
      </w:r>
      <w:r w:rsidR="00591EE7">
        <w:rPr>
          <w:rFonts w:ascii="Times New Roman" w:hAnsi="Times New Roman" w:cs="Times New Roman" w:hint="eastAsia"/>
          <w:sz w:val="24"/>
          <w:szCs w:val="24"/>
        </w:rPr>
        <w:t>F</w:t>
      </w:r>
      <w:r w:rsidRPr="00B604E1">
        <w:rPr>
          <w:rFonts w:ascii="Times New Roman" w:hAnsi="Times New Roman" w:cs="Times New Roman" w:hint="eastAsia"/>
          <w:sz w:val="24"/>
          <w:szCs w:val="24"/>
        </w:rPr>
        <w:t xml:space="preserve">unds) The </w:t>
      </w:r>
      <w:r w:rsidR="00545827">
        <w:rPr>
          <w:rFonts w:ascii="Times New Roman" w:hAnsi="Times New Roman" w:cs="Times New Roman" w:hint="eastAsia"/>
          <w:sz w:val="24"/>
          <w:szCs w:val="24"/>
        </w:rPr>
        <w:t xml:space="preserve">AUM of </w:t>
      </w:r>
      <w:r w:rsidRPr="00B604E1">
        <w:rPr>
          <w:rFonts w:ascii="Times New Roman" w:hAnsi="Times New Roman" w:cs="Times New Roman" w:hint="eastAsia"/>
          <w:sz w:val="24"/>
          <w:szCs w:val="24"/>
        </w:rPr>
        <w:t xml:space="preserve">income funds </w:t>
      </w:r>
      <w:r w:rsidR="00591EE7">
        <w:rPr>
          <w:rFonts w:ascii="Times New Roman" w:hAnsi="Times New Roman" w:cs="Times New Roman" w:hint="eastAsia"/>
          <w:sz w:val="24"/>
          <w:szCs w:val="24"/>
        </w:rPr>
        <w:t>stood at</w:t>
      </w:r>
      <w:r w:rsidRPr="00B604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91EE7">
        <w:rPr>
          <w:rFonts w:ascii="Times New Roman" w:hAnsi="Times New Roman" w:cs="Times New Roman" w:hint="eastAsia"/>
          <w:sz w:val="24"/>
          <w:szCs w:val="24"/>
        </w:rPr>
        <w:t>merely</w:t>
      </w:r>
      <w:r w:rsidRPr="00B604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0305D">
        <w:rPr>
          <w:rFonts w:ascii="Times New Roman" w:hAnsi="Times New Roman" w:cs="Times New Roman" w:hint="eastAsia"/>
          <w:sz w:val="24"/>
          <w:szCs w:val="24"/>
        </w:rPr>
        <w:t xml:space="preserve">KRW 566.6bn in </w:t>
      </w:r>
      <w:r w:rsidRPr="00B604E1">
        <w:rPr>
          <w:rFonts w:ascii="Times New Roman" w:hAnsi="Times New Roman" w:cs="Times New Roman" w:hint="eastAsia"/>
          <w:sz w:val="24"/>
          <w:szCs w:val="24"/>
        </w:rPr>
        <w:t xml:space="preserve">23 </w:t>
      </w:r>
      <w:r w:rsidRPr="00792AAA">
        <w:rPr>
          <w:rFonts w:ascii="Times New Roman" w:hAnsi="Times New Roman" w:cs="Times New Roman" w:hint="eastAsia"/>
          <w:sz w:val="24"/>
          <w:szCs w:val="24"/>
        </w:rPr>
        <w:t>funds</w:t>
      </w:r>
      <w:r w:rsidRPr="00B604E1">
        <w:rPr>
          <w:rFonts w:ascii="Times New Roman" w:hAnsi="Times New Roman" w:cs="Times New Roman" w:hint="eastAsia"/>
          <w:sz w:val="24"/>
          <w:szCs w:val="24"/>
        </w:rPr>
        <w:t xml:space="preserve"> at the end of 2009, but has grown to </w:t>
      </w:r>
      <w:r w:rsidR="0080305D">
        <w:rPr>
          <w:rFonts w:ascii="Times New Roman" w:hAnsi="Times New Roman" w:cs="Times New Roman" w:hint="eastAsia"/>
          <w:sz w:val="24"/>
          <w:szCs w:val="24"/>
        </w:rPr>
        <w:t xml:space="preserve">KRW 2.5965tn in </w:t>
      </w:r>
      <w:r w:rsidRPr="00B604E1">
        <w:rPr>
          <w:rFonts w:ascii="Times New Roman" w:hAnsi="Times New Roman" w:cs="Times New Roman" w:hint="eastAsia"/>
          <w:sz w:val="24"/>
          <w:szCs w:val="24"/>
        </w:rPr>
        <w:t>67 funds</w:t>
      </w:r>
      <w:r w:rsidR="00792AA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604E1">
        <w:rPr>
          <w:rFonts w:ascii="Times New Roman" w:hAnsi="Times New Roman" w:cs="Times New Roman" w:hint="eastAsia"/>
          <w:sz w:val="24"/>
          <w:szCs w:val="24"/>
        </w:rPr>
        <w:t xml:space="preserve">as of April 25, 2013. </w:t>
      </w:r>
    </w:p>
    <w:p w:rsidR="00B604E1" w:rsidRDefault="00B604E1" w:rsidP="00B604E1">
      <w:pPr>
        <w:ind w:left="840" w:hangingChars="350" w:hanging="840"/>
        <w:jc w:val="left"/>
        <w:rPr>
          <w:rFonts w:ascii="Times New Roman" w:hAnsi="Times New Roman" w:cs="Times New Roman"/>
          <w:sz w:val="24"/>
          <w:szCs w:val="24"/>
        </w:rPr>
      </w:pPr>
    </w:p>
    <w:p w:rsidR="00D846EF" w:rsidRPr="00233FC7" w:rsidRDefault="00D846EF" w:rsidP="00233FC7">
      <w:pPr>
        <w:pStyle w:val="a3"/>
        <w:numPr>
          <w:ilvl w:val="0"/>
          <w:numId w:val="1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233FC7">
        <w:rPr>
          <w:rFonts w:ascii="Times New Roman" w:hAnsi="Times New Roman" w:cs="Times New Roman" w:hint="eastAsia"/>
          <w:sz w:val="24"/>
          <w:szCs w:val="24"/>
        </w:rPr>
        <w:t>(Background</w:t>
      </w:r>
      <w:r w:rsidR="00501896">
        <w:rPr>
          <w:rFonts w:ascii="Times New Roman" w:hAnsi="Times New Roman" w:cs="Times New Roman" w:hint="eastAsia"/>
          <w:sz w:val="24"/>
          <w:szCs w:val="24"/>
        </w:rPr>
        <w:t>)</w:t>
      </w:r>
      <w:r w:rsidRPr="00233FC7">
        <w:rPr>
          <w:rFonts w:ascii="Times New Roman" w:hAnsi="Times New Roman" w:cs="Times New Roman" w:hint="eastAsia"/>
          <w:sz w:val="24"/>
          <w:szCs w:val="24"/>
        </w:rPr>
        <w:t xml:space="preserve"> Due to </w:t>
      </w:r>
      <w:r w:rsidR="00501896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CF5BD0">
        <w:rPr>
          <w:rFonts w:ascii="Times New Roman" w:hAnsi="Times New Roman" w:cs="Times New Roman" w:hint="eastAsia"/>
          <w:sz w:val="24"/>
          <w:szCs w:val="24"/>
        </w:rPr>
        <w:t>low</w:t>
      </w:r>
      <w:r w:rsidRPr="00233FC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B7018">
        <w:rPr>
          <w:rFonts w:ascii="Times New Roman" w:hAnsi="Times New Roman" w:cs="Times New Roman" w:hint="eastAsia"/>
          <w:sz w:val="24"/>
          <w:szCs w:val="24"/>
        </w:rPr>
        <w:t>returns</w:t>
      </w:r>
      <w:r w:rsidRPr="00233FC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41961">
        <w:rPr>
          <w:rFonts w:ascii="Times New Roman" w:hAnsi="Times New Roman" w:cs="Times New Roman" w:hint="eastAsia"/>
          <w:sz w:val="24"/>
          <w:szCs w:val="24"/>
        </w:rPr>
        <w:t>on</w:t>
      </w:r>
      <w:r w:rsidR="00141961" w:rsidRPr="00233FC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33FC7">
        <w:rPr>
          <w:rFonts w:ascii="Times New Roman" w:hAnsi="Times New Roman" w:cs="Times New Roman" w:hint="eastAsia"/>
          <w:sz w:val="24"/>
          <w:szCs w:val="24"/>
        </w:rPr>
        <w:t xml:space="preserve">equity funds amid </w:t>
      </w:r>
      <w:r w:rsidRPr="00233FC7">
        <w:rPr>
          <w:rFonts w:ascii="Times New Roman" w:hAnsi="Times New Roman" w:cs="Times New Roman"/>
          <w:sz w:val="24"/>
          <w:szCs w:val="24"/>
        </w:rPr>
        <w:t>stagnant</w:t>
      </w:r>
      <w:r w:rsidRPr="00233FC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F5BD0">
        <w:rPr>
          <w:rFonts w:ascii="Times New Roman" w:hAnsi="Times New Roman" w:cs="Times New Roman" w:hint="eastAsia"/>
          <w:sz w:val="24"/>
          <w:szCs w:val="24"/>
        </w:rPr>
        <w:t>conditions in the stock market at home and abroad</w:t>
      </w:r>
      <w:r w:rsidRPr="00233FC7">
        <w:rPr>
          <w:rFonts w:ascii="Times New Roman" w:hAnsi="Times New Roman" w:cs="Times New Roman" w:hint="eastAsia"/>
          <w:sz w:val="24"/>
          <w:szCs w:val="24"/>
        </w:rPr>
        <w:t xml:space="preserve">, demand for investments in funds </w:t>
      </w:r>
      <w:r w:rsidR="006C5D0A">
        <w:rPr>
          <w:rFonts w:ascii="Times New Roman" w:hAnsi="Times New Roman" w:cs="Times New Roman" w:hint="eastAsia"/>
          <w:sz w:val="24"/>
          <w:szCs w:val="24"/>
        </w:rPr>
        <w:t xml:space="preserve">that </w:t>
      </w:r>
      <w:r w:rsidRPr="00233FC7">
        <w:rPr>
          <w:rFonts w:ascii="Times New Roman" w:hAnsi="Times New Roman" w:cs="Times New Roman" w:hint="eastAsia"/>
          <w:sz w:val="24"/>
          <w:szCs w:val="24"/>
        </w:rPr>
        <w:t>generat</w:t>
      </w:r>
      <w:r w:rsidR="006C5D0A">
        <w:rPr>
          <w:rFonts w:ascii="Times New Roman" w:hAnsi="Times New Roman" w:cs="Times New Roman" w:hint="eastAsia"/>
          <w:sz w:val="24"/>
          <w:szCs w:val="24"/>
        </w:rPr>
        <w:t>e</w:t>
      </w:r>
      <w:r w:rsidRPr="00233FC7">
        <w:rPr>
          <w:rFonts w:ascii="Times New Roman" w:hAnsi="Times New Roman" w:cs="Times New Roman" w:hint="eastAsia"/>
          <w:sz w:val="24"/>
          <w:szCs w:val="24"/>
        </w:rPr>
        <w:t xml:space="preserve"> stable profits</w:t>
      </w:r>
      <w:r w:rsidR="00CF5BD0">
        <w:rPr>
          <w:rFonts w:ascii="Times New Roman" w:hAnsi="Times New Roman" w:cs="Times New Roman" w:hint="eastAsia"/>
          <w:sz w:val="24"/>
          <w:szCs w:val="24"/>
        </w:rPr>
        <w:t xml:space="preserve"> prompted</w:t>
      </w:r>
      <w:r w:rsidRPr="00233FC7">
        <w:rPr>
          <w:rFonts w:ascii="Times New Roman" w:hAnsi="Times New Roman" w:cs="Times New Roman" w:hint="eastAsia"/>
          <w:sz w:val="24"/>
          <w:szCs w:val="24"/>
        </w:rPr>
        <w:t xml:space="preserve"> an increase in </w:t>
      </w:r>
      <w:r w:rsidR="00CF5BD0">
        <w:rPr>
          <w:rFonts w:ascii="Times New Roman" w:hAnsi="Times New Roman" w:cs="Times New Roman" w:hint="eastAsia"/>
          <w:sz w:val="24"/>
          <w:szCs w:val="24"/>
        </w:rPr>
        <w:t xml:space="preserve">income fund </w:t>
      </w:r>
      <w:r w:rsidRPr="00233FC7">
        <w:rPr>
          <w:rFonts w:ascii="Times New Roman" w:hAnsi="Times New Roman" w:cs="Times New Roman" w:hint="eastAsia"/>
          <w:sz w:val="24"/>
          <w:szCs w:val="24"/>
        </w:rPr>
        <w:t>investments.</w:t>
      </w:r>
    </w:p>
    <w:p w:rsidR="00235AA6" w:rsidRPr="00501896" w:rsidRDefault="00235AA6" w:rsidP="00B604E1">
      <w:pPr>
        <w:ind w:leftChars="200" w:left="707" w:hangingChars="128" w:hanging="307"/>
        <w:jc w:val="left"/>
        <w:rPr>
          <w:rFonts w:ascii="Times New Roman" w:hAnsi="Times New Roman" w:cs="Times New Roman"/>
          <w:sz w:val="24"/>
          <w:szCs w:val="24"/>
        </w:rPr>
      </w:pPr>
    </w:p>
    <w:p w:rsidR="00B604E1" w:rsidRDefault="00B604E1" w:rsidP="00B604E1">
      <w:pPr>
        <w:pStyle w:val="a3"/>
        <w:numPr>
          <w:ilvl w:val="0"/>
          <w:numId w:val="9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B604E1">
        <w:rPr>
          <w:rFonts w:ascii="Times New Roman" w:hAnsi="Times New Roman" w:cs="Times New Roman" w:hint="eastAsia"/>
          <w:sz w:val="24"/>
          <w:szCs w:val="24"/>
        </w:rPr>
        <w:t>(</w:t>
      </w:r>
      <w:r>
        <w:rPr>
          <w:rFonts w:ascii="Times New Roman" w:hAnsi="Times New Roman" w:cs="Times New Roman" w:hint="eastAsia"/>
          <w:sz w:val="24"/>
          <w:szCs w:val="24"/>
        </w:rPr>
        <w:t xml:space="preserve">Major </w:t>
      </w:r>
      <w:r w:rsidR="00591EE7">
        <w:rPr>
          <w:rFonts w:ascii="Times New Roman" w:hAnsi="Times New Roman" w:cs="Times New Roman" w:hint="eastAsia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 xml:space="preserve">und </w:t>
      </w:r>
      <w:r w:rsidR="00591EE7"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ypes</w:t>
      </w:r>
      <w:r w:rsidRPr="00B604E1"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="001C7F98">
        <w:rPr>
          <w:rFonts w:ascii="Times New Roman" w:hAnsi="Times New Roman" w:cs="Times New Roman" w:hint="eastAsia"/>
          <w:sz w:val="24"/>
          <w:szCs w:val="24"/>
        </w:rPr>
        <w:t>In accordance with</w:t>
      </w:r>
      <w:r>
        <w:rPr>
          <w:rFonts w:ascii="Times New Roman" w:hAnsi="Times New Roman" w:cs="Times New Roman" w:hint="eastAsia"/>
          <w:sz w:val="24"/>
          <w:szCs w:val="24"/>
        </w:rPr>
        <w:t xml:space="preserve"> the</w:t>
      </w:r>
      <w:r w:rsidR="001C7F98">
        <w:rPr>
          <w:rFonts w:ascii="Times New Roman" w:hAnsi="Times New Roman" w:cs="Times New Roman" w:hint="eastAsia"/>
          <w:sz w:val="24"/>
          <w:szCs w:val="24"/>
        </w:rPr>
        <w:t xml:space="preserve"> nature of</w:t>
      </w:r>
      <w:r>
        <w:rPr>
          <w:rFonts w:ascii="Times New Roman" w:hAnsi="Times New Roman" w:cs="Times New Roman" w:hint="eastAsia"/>
          <w:sz w:val="24"/>
          <w:szCs w:val="24"/>
        </w:rPr>
        <w:t xml:space="preserve"> investment</w:t>
      </w:r>
      <w:r w:rsidR="001C7F98">
        <w:rPr>
          <w:rFonts w:ascii="Times New Roman" w:hAnsi="Times New Roman" w:cs="Times New Roman" w:hint="eastAsia"/>
          <w:sz w:val="24"/>
          <w:szCs w:val="24"/>
        </w:rPr>
        <w:t>s in</w:t>
      </w:r>
      <w:r>
        <w:rPr>
          <w:rFonts w:ascii="Times New Roman" w:hAnsi="Times New Roman" w:cs="Times New Roman" w:hint="eastAsia"/>
          <w:sz w:val="24"/>
          <w:szCs w:val="24"/>
        </w:rPr>
        <w:t xml:space="preserve"> income funds</w:t>
      </w:r>
      <w:r w:rsidR="00501896">
        <w:rPr>
          <w:rFonts w:ascii="Times New Roman" w:hAnsi="Times New Roman" w:cs="Times New Roman" w:hint="eastAsia"/>
          <w:sz w:val="24"/>
          <w:szCs w:val="24"/>
        </w:rPr>
        <w:t>, which</w:t>
      </w:r>
      <w:r>
        <w:rPr>
          <w:rFonts w:ascii="Times New Roman" w:hAnsi="Times New Roman" w:cs="Times New Roman" w:hint="eastAsia"/>
          <w:sz w:val="24"/>
          <w:szCs w:val="24"/>
        </w:rPr>
        <w:t xml:space="preserve"> seek stable</w:t>
      </w:r>
      <w:r w:rsidR="00CF5BD0">
        <w:rPr>
          <w:rFonts w:ascii="Times New Roman" w:hAnsi="Times New Roman" w:cs="Times New Roman" w:hint="eastAsia"/>
          <w:sz w:val="24"/>
          <w:szCs w:val="24"/>
        </w:rPr>
        <w:t xml:space="preserve"> profits </w:t>
      </w:r>
      <w:r w:rsidR="001C7F98">
        <w:rPr>
          <w:rFonts w:ascii="Times New Roman" w:hAnsi="Times New Roman" w:cs="Times New Roman" w:hint="eastAsia"/>
          <w:sz w:val="24"/>
          <w:szCs w:val="24"/>
        </w:rPr>
        <w:t>from</w:t>
      </w:r>
      <w:r>
        <w:rPr>
          <w:rFonts w:ascii="Times New Roman" w:hAnsi="Times New Roman" w:cs="Times New Roman" w:hint="eastAsia"/>
          <w:sz w:val="24"/>
          <w:szCs w:val="24"/>
        </w:rPr>
        <w:t xml:space="preserve"> interest</w:t>
      </w:r>
      <w:r w:rsidR="00CF5BD0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and dividend</w:t>
      </w:r>
      <w:r w:rsidR="00CF5BD0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, bond funds (36.8%), fund</w:t>
      </w:r>
      <w:r w:rsidR="006C5D0A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of funds (30.9%), </w:t>
      </w:r>
      <w:r w:rsidR="001C7F98">
        <w:rPr>
          <w:rFonts w:ascii="Times New Roman" w:hAnsi="Times New Roman" w:cs="Times New Roman" w:hint="eastAsia"/>
          <w:sz w:val="24"/>
          <w:szCs w:val="24"/>
        </w:rPr>
        <w:t xml:space="preserve">and </w:t>
      </w:r>
      <w:r>
        <w:rPr>
          <w:rFonts w:ascii="Times New Roman" w:hAnsi="Times New Roman" w:cs="Times New Roman" w:hint="eastAsia"/>
          <w:sz w:val="24"/>
          <w:szCs w:val="24"/>
        </w:rPr>
        <w:t>hybrid</w:t>
      </w:r>
      <w:r w:rsidR="00591EE7">
        <w:rPr>
          <w:rFonts w:ascii="Times New Roman" w:hAnsi="Times New Roman" w:cs="Times New Roman" w:hint="eastAsia"/>
          <w:sz w:val="24"/>
          <w:szCs w:val="24"/>
        </w:rPr>
        <w:t xml:space="preserve">-bond </w:t>
      </w:r>
      <w:r>
        <w:rPr>
          <w:rFonts w:ascii="Times New Roman" w:hAnsi="Times New Roman" w:cs="Times New Roman" w:hint="eastAsia"/>
          <w:sz w:val="24"/>
          <w:szCs w:val="24"/>
        </w:rPr>
        <w:t xml:space="preserve">funds (22.6%) </w:t>
      </w:r>
      <w:r>
        <w:rPr>
          <w:rFonts w:ascii="Times New Roman" w:hAnsi="Times New Roman" w:cs="Times New Roman"/>
          <w:sz w:val="24"/>
          <w:szCs w:val="24"/>
        </w:rPr>
        <w:t>account</w:t>
      </w:r>
      <w:r>
        <w:rPr>
          <w:rFonts w:ascii="Times New Roman" w:hAnsi="Times New Roman" w:cs="Times New Roman" w:hint="eastAsia"/>
          <w:sz w:val="24"/>
          <w:szCs w:val="24"/>
        </w:rPr>
        <w:t xml:space="preserve"> for approximately 90% of all income fund</w:t>
      </w:r>
      <w:r w:rsidR="00501896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B604E1" w:rsidRPr="00501896" w:rsidRDefault="00B604E1" w:rsidP="00B604E1">
      <w:pPr>
        <w:ind w:left="840" w:hangingChars="350" w:hanging="840"/>
        <w:jc w:val="left"/>
        <w:rPr>
          <w:rFonts w:ascii="Times New Roman" w:hAnsi="Times New Roman" w:cs="Times New Roman"/>
          <w:sz w:val="24"/>
          <w:szCs w:val="24"/>
        </w:rPr>
      </w:pPr>
    </w:p>
    <w:p w:rsidR="00B604E1" w:rsidRPr="00233FC7" w:rsidRDefault="00B604E1" w:rsidP="00233FC7">
      <w:pPr>
        <w:pStyle w:val="a3"/>
        <w:numPr>
          <w:ilvl w:val="0"/>
          <w:numId w:val="1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233FC7">
        <w:rPr>
          <w:rFonts w:ascii="Times New Roman" w:hAnsi="Times New Roman" w:cs="Times New Roman" w:hint="eastAsia"/>
          <w:sz w:val="24"/>
          <w:szCs w:val="24"/>
        </w:rPr>
        <w:t>(</w:t>
      </w:r>
      <w:r w:rsidR="0097482D" w:rsidRPr="007146B4">
        <w:rPr>
          <w:rFonts w:ascii="Times New Roman" w:hAnsi="Times New Roman" w:cs="Times New Roman" w:hint="eastAsia"/>
          <w:sz w:val="24"/>
          <w:szCs w:val="24"/>
        </w:rPr>
        <w:t xml:space="preserve">Domestic vs. </w:t>
      </w:r>
      <w:r w:rsidR="00591EE7">
        <w:rPr>
          <w:rFonts w:ascii="Times New Roman" w:hAnsi="Times New Roman" w:cs="Times New Roman" w:hint="eastAsia"/>
          <w:sz w:val="24"/>
          <w:szCs w:val="24"/>
        </w:rPr>
        <w:t>O</w:t>
      </w:r>
      <w:r w:rsidR="0097482D" w:rsidRPr="007146B4">
        <w:rPr>
          <w:rFonts w:ascii="Times New Roman" w:hAnsi="Times New Roman" w:cs="Times New Roman" w:hint="eastAsia"/>
          <w:sz w:val="24"/>
          <w:szCs w:val="24"/>
        </w:rPr>
        <w:t xml:space="preserve">verseas </w:t>
      </w:r>
      <w:r w:rsidR="00591EE7">
        <w:rPr>
          <w:rFonts w:ascii="Times New Roman" w:hAnsi="Times New Roman" w:cs="Times New Roman" w:hint="eastAsia"/>
          <w:sz w:val="24"/>
          <w:szCs w:val="24"/>
        </w:rPr>
        <w:t>F</w:t>
      </w:r>
      <w:r w:rsidR="0097482D" w:rsidRPr="007146B4">
        <w:rPr>
          <w:rFonts w:ascii="Times New Roman" w:hAnsi="Times New Roman" w:cs="Times New Roman" w:hint="eastAsia"/>
          <w:sz w:val="24"/>
          <w:szCs w:val="24"/>
        </w:rPr>
        <w:t>unds</w:t>
      </w:r>
      <w:r w:rsidRPr="007146B4">
        <w:rPr>
          <w:rFonts w:ascii="Times New Roman" w:hAnsi="Times New Roman" w:cs="Times New Roman" w:hint="eastAsia"/>
          <w:sz w:val="24"/>
          <w:szCs w:val="24"/>
        </w:rPr>
        <w:t>)</w:t>
      </w:r>
      <w:r w:rsidRPr="00233FC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7482D" w:rsidRPr="00233FC7">
        <w:rPr>
          <w:rFonts w:ascii="Times New Roman" w:hAnsi="Times New Roman" w:cs="Times New Roman" w:hint="eastAsia"/>
          <w:sz w:val="24"/>
          <w:szCs w:val="24"/>
        </w:rPr>
        <w:t>Notably, most investments are made in overseas assets</w:t>
      </w:r>
      <w:r w:rsidR="006C5D0A">
        <w:rPr>
          <w:rFonts w:ascii="Times New Roman" w:hAnsi="Times New Roman" w:cs="Times New Roman" w:hint="eastAsia"/>
          <w:sz w:val="24"/>
          <w:szCs w:val="24"/>
        </w:rPr>
        <w:t>,</w:t>
      </w:r>
      <w:r w:rsidR="0097482D" w:rsidRPr="00233FC7">
        <w:rPr>
          <w:rFonts w:ascii="Times New Roman" w:hAnsi="Times New Roman" w:cs="Times New Roman" w:hint="eastAsia"/>
          <w:sz w:val="24"/>
          <w:szCs w:val="24"/>
        </w:rPr>
        <w:t xml:space="preserve"> such as emerging market bonds</w:t>
      </w:r>
      <w:r w:rsidR="00E020D0">
        <w:rPr>
          <w:rFonts w:ascii="Times New Roman" w:hAnsi="Times New Roman" w:cs="Times New Roman" w:hint="eastAsia"/>
          <w:sz w:val="24"/>
          <w:szCs w:val="24"/>
        </w:rPr>
        <w:t>,</w:t>
      </w:r>
      <w:r w:rsidR="0097482D" w:rsidRPr="00233FC7">
        <w:rPr>
          <w:rFonts w:ascii="Times New Roman" w:hAnsi="Times New Roman" w:cs="Times New Roman" w:hint="eastAsia"/>
          <w:sz w:val="24"/>
          <w:szCs w:val="24"/>
        </w:rPr>
        <w:t xml:space="preserve"> and overseas investment funds account for 63.6% of overall income funds, while domestic investment funds </w:t>
      </w:r>
      <w:r w:rsidR="006C5D0A">
        <w:rPr>
          <w:rFonts w:ascii="Times New Roman" w:hAnsi="Times New Roman" w:cs="Times New Roman" w:hint="eastAsia"/>
          <w:sz w:val="24"/>
          <w:szCs w:val="24"/>
        </w:rPr>
        <w:t>m</w:t>
      </w:r>
      <w:r w:rsidR="0097482D" w:rsidRPr="00233FC7">
        <w:rPr>
          <w:rFonts w:ascii="Times New Roman" w:hAnsi="Times New Roman" w:cs="Times New Roman" w:hint="eastAsia"/>
          <w:sz w:val="24"/>
          <w:szCs w:val="24"/>
        </w:rPr>
        <w:t xml:space="preserve">ake up 36.4%. </w:t>
      </w:r>
    </w:p>
    <w:p w:rsidR="0097482D" w:rsidRPr="006C5D0A" w:rsidRDefault="0097482D" w:rsidP="0097482D">
      <w:pPr>
        <w:ind w:left="840" w:hangingChars="350" w:hanging="840"/>
        <w:jc w:val="left"/>
        <w:rPr>
          <w:rFonts w:ascii="Times New Roman" w:hAnsi="Times New Roman" w:cs="Times New Roman"/>
          <w:sz w:val="24"/>
          <w:szCs w:val="24"/>
        </w:rPr>
      </w:pPr>
    </w:p>
    <w:p w:rsidR="0097482D" w:rsidRDefault="0097482D" w:rsidP="007146B4">
      <w:pPr>
        <w:pStyle w:val="a3"/>
        <w:numPr>
          <w:ilvl w:val="0"/>
          <w:numId w:val="1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7146B4">
        <w:rPr>
          <w:rFonts w:ascii="Times New Roman" w:hAnsi="Times New Roman" w:cs="Times New Roman" w:hint="eastAsia"/>
          <w:sz w:val="24"/>
          <w:szCs w:val="24"/>
        </w:rPr>
        <w:t>(Public</w:t>
      </w:r>
      <w:r w:rsidR="00591EE7">
        <w:rPr>
          <w:rFonts w:ascii="Times New Roman" w:hAnsi="Times New Roman" w:cs="Times New Roman" w:hint="eastAsia"/>
          <w:sz w:val="24"/>
          <w:szCs w:val="24"/>
        </w:rPr>
        <w:t xml:space="preserve"> P</w:t>
      </w:r>
      <w:r w:rsidRPr="007146B4">
        <w:rPr>
          <w:rFonts w:ascii="Times New Roman" w:hAnsi="Times New Roman" w:cs="Times New Roman" w:hint="eastAsia"/>
          <w:sz w:val="24"/>
          <w:szCs w:val="24"/>
        </w:rPr>
        <w:t xml:space="preserve">lacement vs. </w:t>
      </w:r>
      <w:r w:rsidR="00591EE7">
        <w:rPr>
          <w:rFonts w:ascii="Times New Roman" w:hAnsi="Times New Roman" w:cs="Times New Roman" w:hint="eastAsia"/>
          <w:sz w:val="24"/>
          <w:szCs w:val="24"/>
        </w:rPr>
        <w:t>P</w:t>
      </w:r>
      <w:r w:rsidRPr="007146B4">
        <w:rPr>
          <w:rFonts w:ascii="Times New Roman" w:hAnsi="Times New Roman" w:cs="Times New Roman" w:hint="eastAsia"/>
          <w:sz w:val="24"/>
          <w:szCs w:val="24"/>
        </w:rPr>
        <w:t xml:space="preserve">rivate </w:t>
      </w:r>
      <w:r w:rsidR="00591EE7">
        <w:rPr>
          <w:rFonts w:ascii="Times New Roman" w:hAnsi="Times New Roman" w:cs="Times New Roman" w:hint="eastAsia"/>
          <w:sz w:val="24"/>
          <w:szCs w:val="24"/>
        </w:rPr>
        <w:t>P</w:t>
      </w:r>
      <w:r w:rsidRPr="007146B4">
        <w:rPr>
          <w:rFonts w:ascii="Times New Roman" w:hAnsi="Times New Roman" w:cs="Times New Roman" w:hint="eastAsia"/>
          <w:sz w:val="24"/>
          <w:szCs w:val="24"/>
        </w:rPr>
        <w:t xml:space="preserve">lacement) </w:t>
      </w:r>
      <w:r w:rsidR="00233FC7" w:rsidRPr="007146B4">
        <w:rPr>
          <w:rFonts w:ascii="Times New Roman" w:hAnsi="Times New Roman" w:cs="Times New Roman" w:hint="eastAsia"/>
          <w:sz w:val="24"/>
          <w:szCs w:val="24"/>
        </w:rPr>
        <w:t>Investments</w:t>
      </w:r>
      <w:r w:rsidR="00233FC7" w:rsidRPr="00233FC7">
        <w:rPr>
          <w:rFonts w:ascii="Times New Roman" w:hAnsi="Times New Roman" w:cs="Times New Roman" w:hint="eastAsia"/>
          <w:sz w:val="24"/>
          <w:szCs w:val="24"/>
        </w:rPr>
        <w:t xml:space="preserve"> in d</w:t>
      </w:r>
      <w:r w:rsidRPr="00233FC7">
        <w:rPr>
          <w:rFonts w:ascii="Times New Roman" w:hAnsi="Times New Roman" w:cs="Times New Roman" w:hint="eastAsia"/>
          <w:sz w:val="24"/>
          <w:szCs w:val="24"/>
        </w:rPr>
        <w:t xml:space="preserve">omestic </w:t>
      </w:r>
      <w:r w:rsidR="00233FC7" w:rsidRPr="00233FC7">
        <w:rPr>
          <w:rFonts w:ascii="Times New Roman" w:hAnsi="Times New Roman" w:cs="Times New Roman" w:hint="eastAsia"/>
          <w:sz w:val="24"/>
          <w:szCs w:val="24"/>
        </w:rPr>
        <w:t xml:space="preserve">income funds are far more </w:t>
      </w:r>
      <w:r w:rsidR="00233FC7" w:rsidRPr="00233FC7">
        <w:rPr>
          <w:rFonts w:ascii="Times New Roman" w:hAnsi="Times New Roman" w:cs="Times New Roman"/>
          <w:sz w:val="24"/>
          <w:szCs w:val="24"/>
        </w:rPr>
        <w:t>concentrated</w:t>
      </w:r>
      <w:r w:rsidR="00233FC7" w:rsidRPr="00233FC7">
        <w:rPr>
          <w:rFonts w:ascii="Times New Roman" w:hAnsi="Times New Roman" w:cs="Times New Roman" w:hint="eastAsia"/>
          <w:sz w:val="24"/>
          <w:szCs w:val="24"/>
        </w:rPr>
        <w:t xml:space="preserve"> in private placements, while </w:t>
      </w:r>
      <w:r w:rsidR="007146B4">
        <w:rPr>
          <w:rFonts w:ascii="Times New Roman" w:hAnsi="Times New Roman" w:cs="Times New Roman" w:hint="eastAsia"/>
          <w:sz w:val="24"/>
          <w:szCs w:val="24"/>
        </w:rPr>
        <w:t xml:space="preserve">public placements </w:t>
      </w:r>
      <w:r w:rsidR="006C5D0A">
        <w:rPr>
          <w:rFonts w:ascii="Times New Roman" w:hAnsi="Times New Roman" w:cs="Times New Roman" w:hint="eastAsia"/>
          <w:sz w:val="24"/>
          <w:szCs w:val="24"/>
        </w:rPr>
        <w:t>m</w:t>
      </w:r>
      <w:r w:rsidR="007146B4">
        <w:rPr>
          <w:rFonts w:ascii="Times New Roman" w:hAnsi="Times New Roman" w:cs="Times New Roman" w:hint="eastAsia"/>
          <w:sz w:val="24"/>
          <w:szCs w:val="24"/>
        </w:rPr>
        <w:t xml:space="preserve">ake up a larger portion </w:t>
      </w:r>
      <w:r w:rsidR="006C5D0A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="00233FC7" w:rsidRPr="00233FC7">
        <w:rPr>
          <w:rFonts w:ascii="Times New Roman" w:hAnsi="Times New Roman" w:cs="Times New Roman" w:hint="eastAsia"/>
          <w:sz w:val="24"/>
          <w:szCs w:val="24"/>
        </w:rPr>
        <w:t>overseas income funds. Overall, private placements</w:t>
      </w:r>
      <w:r w:rsidR="007146B4">
        <w:rPr>
          <w:rFonts w:ascii="Times New Roman" w:hAnsi="Times New Roman" w:cs="Times New Roman" w:hint="eastAsia"/>
          <w:sz w:val="24"/>
          <w:szCs w:val="24"/>
        </w:rPr>
        <w:t xml:space="preserve"> (56.3%)</w:t>
      </w:r>
      <w:r w:rsidR="00233FC7" w:rsidRPr="00233FC7">
        <w:rPr>
          <w:rFonts w:ascii="Times New Roman" w:hAnsi="Times New Roman" w:cs="Times New Roman" w:hint="eastAsia"/>
          <w:sz w:val="24"/>
          <w:szCs w:val="24"/>
        </w:rPr>
        <w:t xml:space="preserve"> account for a larger </w:t>
      </w:r>
      <w:r w:rsidR="00233FC7" w:rsidRPr="007146B4">
        <w:rPr>
          <w:rFonts w:ascii="Times New Roman" w:hAnsi="Times New Roman" w:cs="Times New Roman" w:hint="eastAsia"/>
          <w:sz w:val="24"/>
          <w:szCs w:val="24"/>
        </w:rPr>
        <w:t>proportion</w:t>
      </w:r>
      <w:r w:rsidR="007146B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C5D0A">
        <w:rPr>
          <w:rFonts w:ascii="Times New Roman" w:hAnsi="Times New Roman" w:cs="Times New Roman" w:hint="eastAsia"/>
          <w:sz w:val="24"/>
          <w:szCs w:val="24"/>
        </w:rPr>
        <w:t xml:space="preserve">of funds </w:t>
      </w:r>
      <w:r w:rsidR="007146B4">
        <w:rPr>
          <w:rFonts w:ascii="Times New Roman" w:hAnsi="Times New Roman" w:cs="Times New Roman" w:hint="eastAsia"/>
          <w:sz w:val="24"/>
          <w:szCs w:val="24"/>
        </w:rPr>
        <w:t xml:space="preserve">than </w:t>
      </w:r>
      <w:r w:rsidR="00233FC7" w:rsidRPr="00233FC7">
        <w:rPr>
          <w:rFonts w:ascii="Times New Roman" w:hAnsi="Times New Roman" w:cs="Times New Roman" w:hint="eastAsia"/>
          <w:sz w:val="24"/>
          <w:szCs w:val="24"/>
        </w:rPr>
        <w:t>public placement</w:t>
      </w:r>
      <w:r w:rsidR="007146B4">
        <w:rPr>
          <w:rFonts w:ascii="Times New Roman" w:hAnsi="Times New Roman" w:cs="Times New Roman" w:hint="eastAsia"/>
          <w:sz w:val="24"/>
          <w:szCs w:val="24"/>
        </w:rPr>
        <w:t>s</w:t>
      </w:r>
      <w:r w:rsidR="00233FC7" w:rsidRPr="00233FC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146B4">
        <w:rPr>
          <w:rFonts w:ascii="Times New Roman" w:hAnsi="Times New Roman" w:cs="Times New Roman" w:hint="eastAsia"/>
          <w:sz w:val="24"/>
          <w:szCs w:val="24"/>
        </w:rPr>
        <w:t>(</w:t>
      </w:r>
      <w:r w:rsidR="00233FC7" w:rsidRPr="00233FC7">
        <w:rPr>
          <w:rFonts w:ascii="Times New Roman" w:hAnsi="Times New Roman" w:cs="Times New Roman" w:hint="eastAsia"/>
          <w:sz w:val="24"/>
          <w:szCs w:val="24"/>
        </w:rPr>
        <w:t>43.7%</w:t>
      </w:r>
      <w:r w:rsidR="007146B4">
        <w:rPr>
          <w:rFonts w:ascii="Times New Roman" w:hAnsi="Times New Roman" w:cs="Times New Roman" w:hint="eastAsia"/>
          <w:sz w:val="24"/>
          <w:szCs w:val="24"/>
        </w:rPr>
        <w:t>)</w:t>
      </w:r>
      <w:r w:rsidR="00233FC7" w:rsidRPr="00233FC7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2707E2" w:rsidRPr="002707E2" w:rsidRDefault="002707E2" w:rsidP="002707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346E" w:rsidRDefault="002707E2" w:rsidP="00270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&lt;No. of Funds and NAV Trends by Income Fund Type&gt; </w:t>
      </w:r>
    </w:p>
    <w:p w:rsidR="00E5346E" w:rsidRDefault="00E5346E" w:rsidP="00270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ab/>
      </w:r>
      <w:r>
        <w:rPr>
          <w:rFonts w:ascii="Times New Roman" w:hAnsi="Times New Roman" w:cs="Times New Roman" w:hint="eastAsia"/>
          <w:b/>
          <w:sz w:val="24"/>
          <w:szCs w:val="24"/>
        </w:rPr>
        <w:tab/>
      </w:r>
      <w:r>
        <w:rPr>
          <w:rFonts w:ascii="Times New Roman" w:hAnsi="Times New Roman" w:cs="Times New Roman" w:hint="eastAsia"/>
          <w:b/>
          <w:sz w:val="24"/>
          <w:szCs w:val="24"/>
        </w:rPr>
        <w:tab/>
      </w:r>
      <w:r>
        <w:rPr>
          <w:rFonts w:ascii="Times New Roman" w:hAnsi="Times New Roman" w:cs="Times New Roman" w:hint="eastAsia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 w:hint="eastAsia"/>
          <w:b/>
          <w:sz w:val="24"/>
          <w:szCs w:val="24"/>
        </w:rPr>
        <w:tab/>
      </w:r>
      <w:r>
        <w:rPr>
          <w:rFonts w:ascii="Times New Roman" w:hAnsi="Times New Roman" w:cs="Times New Roman" w:hint="eastAsia"/>
          <w:b/>
          <w:sz w:val="24"/>
          <w:szCs w:val="24"/>
        </w:rPr>
        <w:tab/>
      </w:r>
    </w:p>
    <w:p w:rsidR="00E5346E" w:rsidRPr="00E5346E" w:rsidRDefault="00E5346E" w:rsidP="00E5346E">
      <w:pPr>
        <w:ind w:left="4800" w:firstLine="80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 w:hint="eastAsia"/>
          <w:sz w:val="16"/>
          <w:szCs w:val="16"/>
        </w:rPr>
        <w:t>(</w:t>
      </w:r>
      <w:r w:rsidRPr="00E5346E">
        <w:rPr>
          <w:rFonts w:ascii="Times New Roman" w:hAnsi="Times New Roman" w:cs="Times New Roman" w:hint="eastAsia"/>
          <w:sz w:val="16"/>
          <w:szCs w:val="16"/>
        </w:rPr>
        <w:t>Unit: KRW</w:t>
      </w:r>
      <w:r w:rsidR="00976C76">
        <w:rPr>
          <w:rFonts w:ascii="Times New Roman" w:hAnsi="Times New Roman" w:cs="Times New Roman" w:hint="eastAsia"/>
          <w:sz w:val="16"/>
          <w:szCs w:val="16"/>
        </w:rPr>
        <w:t xml:space="preserve"> </w:t>
      </w:r>
      <w:proofErr w:type="spellStart"/>
      <w:proofErr w:type="gramStart"/>
      <w:r w:rsidR="00976C76">
        <w:rPr>
          <w:rFonts w:ascii="Times New Roman" w:hAnsi="Times New Roman" w:cs="Times New Roman" w:hint="eastAsia"/>
          <w:sz w:val="16"/>
          <w:szCs w:val="16"/>
        </w:rPr>
        <w:t>tn</w:t>
      </w:r>
      <w:proofErr w:type="spellEnd"/>
      <w:proofErr w:type="gramEnd"/>
      <w:r>
        <w:rPr>
          <w:rFonts w:ascii="Times New Roman" w:hAnsi="Times New Roman" w:cs="Times New Roman" w:hint="eastAsia"/>
          <w:sz w:val="16"/>
          <w:szCs w:val="16"/>
        </w:rPr>
        <w:t xml:space="preserve">) </w:t>
      </w:r>
    </w:p>
    <w:p w:rsidR="002707E2" w:rsidRPr="002707E2" w:rsidRDefault="00D102A9" w:rsidP="002707E2">
      <w:pPr>
        <w:jc w:val="center"/>
        <w:rPr>
          <w:rFonts w:ascii="Times New Roman" w:hAnsi="Times New Roman" w:cs="Times New Roman" w:hint="eastAsia"/>
          <w:b/>
          <w:sz w:val="24"/>
          <w:szCs w:val="24"/>
        </w:rPr>
      </w:pPr>
      <w:r w:rsidRPr="00F639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9510" cy="2948025"/>
            <wp:effectExtent l="0" t="0" r="0" b="0"/>
            <wp:docPr id="19" name="차트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397A" w:rsidRDefault="00F6397A" w:rsidP="00F6397A">
      <w:pPr>
        <w:ind w:leftChars="200" w:left="707" w:hangingChars="128" w:hanging="307"/>
        <w:jc w:val="left"/>
        <w:rPr>
          <w:rFonts w:ascii="Times New Roman" w:hAnsi="Times New Roman" w:cs="Times New Roman"/>
          <w:sz w:val="24"/>
          <w:szCs w:val="24"/>
        </w:rPr>
      </w:pPr>
    </w:p>
    <w:p w:rsidR="00233FC7" w:rsidRDefault="00233FC7" w:rsidP="00233FC7">
      <w:pPr>
        <w:pStyle w:val="a3"/>
        <w:numPr>
          <w:ilvl w:val="0"/>
          <w:numId w:val="9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B604E1">
        <w:rPr>
          <w:rFonts w:ascii="Times New Roman" w:hAnsi="Times New Roman" w:cs="Times New Roman" w:hint="eastAsia"/>
          <w:sz w:val="24"/>
          <w:szCs w:val="24"/>
        </w:rPr>
        <w:t>(</w:t>
      </w:r>
      <w:r w:rsidR="007146B4">
        <w:rPr>
          <w:rFonts w:ascii="Times New Roman" w:hAnsi="Times New Roman" w:cs="Times New Roman" w:hint="eastAsia"/>
          <w:sz w:val="24"/>
          <w:szCs w:val="24"/>
        </w:rPr>
        <w:t xml:space="preserve">Asset </w:t>
      </w:r>
      <w:r w:rsidR="002F00DE">
        <w:rPr>
          <w:rFonts w:ascii="Times New Roman" w:hAnsi="Times New Roman" w:cs="Times New Roman" w:hint="eastAsia"/>
          <w:sz w:val="24"/>
          <w:szCs w:val="24"/>
        </w:rPr>
        <w:t>P</w:t>
      </w:r>
      <w:r w:rsidR="007146B4">
        <w:rPr>
          <w:rFonts w:ascii="Times New Roman" w:hAnsi="Times New Roman" w:cs="Times New Roman" w:hint="eastAsia"/>
          <w:sz w:val="24"/>
          <w:szCs w:val="24"/>
        </w:rPr>
        <w:t>ortfolio</w:t>
      </w:r>
      <w:r w:rsidRPr="00B604E1">
        <w:rPr>
          <w:rFonts w:ascii="Times New Roman" w:hAnsi="Times New Roman" w:cs="Times New Roman" w:hint="eastAsia"/>
          <w:sz w:val="24"/>
          <w:szCs w:val="24"/>
        </w:rPr>
        <w:t xml:space="preserve">) </w:t>
      </w:r>
      <w:r>
        <w:rPr>
          <w:rFonts w:ascii="Times New Roman" w:hAnsi="Times New Roman" w:cs="Times New Roman" w:hint="eastAsia"/>
          <w:sz w:val="24"/>
          <w:szCs w:val="24"/>
        </w:rPr>
        <w:t>Bond funds and fund</w:t>
      </w:r>
      <w:r w:rsidR="002F00DE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of funds are the main asset</w:t>
      </w:r>
      <w:r w:rsidR="007146B4">
        <w:rPr>
          <w:rFonts w:ascii="Times New Roman" w:hAnsi="Times New Roman" w:cs="Times New Roman" w:hint="eastAsia"/>
          <w:sz w:val="24"/>
          <w:szCs w:val="24"/>
        </w:rPr>
        <w:t>s,</w:t>
      </w:r>
      <w:r>
        <w:rPr>
          <w:rFonts w:ascii="Times New Roman" w:hAnsi="Times New Roman" w:cs="Times New Roman" w:hint="eastAsia"/>
          <w:sz w:val="24"/>
          <w:szCs w:val="24"/>
        </w:rPr>
        <w:t xml:space="preserve"> and bonds and </w:t>
      </w:r>
      <w:r w:rsidR="00E020D0">
        <w:rPr>
          <w:rFonts w:ascii="Times New Roman" w:hAnsi="Times New Roman" w:cs="Times New Roman"/>
          <w:sz w:val="24"/>
          <w:szCs w:val="24"/>
        </w:rPr>
        <w:t>beneficiary</w:t>
      </w:r>
      <w:r w:rsidR="00E020D0">
        <w:rPr>
          <w:rFonts w:ascii="Times New Roman" w:hAnsi="Times New Roman" w:cs="Times New Roman" w:hint="eastAsia"/>
          <w:sz w:val="24"/>
          <w:szCs w:val="24"/>
        </w:rPr>
        <w:t xml:space="preserve"> certificates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account</w:t>
      </w:r>
      <w:r>
        <w:rPr>
          <w:rFonts w:ascii="Times New Roman" w:hAnsi="Times New Roman" w:cs="Times New Roman" w:hint="eastAsia"/>
          <w:sz w:val="24"/>
          <w:szCs w:val="24"/>
        </w:rPr>
        <w:t xml:space="preserve"> for 31.4% and 44.5%, respectively, from among overall income fund assets. </w:t>
      </w:r>
    </w:p>
    <w:p w:rsidR="002707E2" w:rsidRDefault="002707E2" w:rsidP="002707E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707E2" w:rsidRDefault="002707E2" w:rsidP="00270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7E2">
        <w:rPr>
          <w:rFonts w:ascii="Times New Roman" w:hAnsi="Times New Roman" w:cs="Times New Roman" w:hint="eastAsia"/>
          <w:b/>
          <w:sz w:val="24"/>
          <w:szCs w:val="24"/>
        </w:rPr>
        <w:t>&lt;Proportion of Public and Private Placement Income Funds (as of April 25, 2013)&gt;</w:t>
      </w:r>
    </w:p>
    <w:p w:rsidR="002707E2" w:rsidRPr="002707E2" w:rsidRDefault="002707E2" w:rsidP="002707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FC7" w:rsidRPr="005A5728" w:rsidRDefault="002707E2" w:rsidP="002707E2">
      <w:pPr>
        <w:ind w:leftChars="200" w:left="707" w:hangingChars="128" w:hanging="30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="005A5728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5A5728">
        <w:rPr>
          <w:rFonts w:ascii="Times New Roman" w:hAnsi="Times New Roman" w:cs="Times New Roman" w:hint="eastAsia"/>
          <w:sz w:val="16"/>
          <w:szCs w:val="16"/>
        </w:rPr>
        <w:t>(Unit: KRW</w:t>
      </w:r>
      <w:r w:rsidR="002F00DE" w:rsidRPr="005A5728">
        <w:rPr>
          <w:rFonts w:ascii="Times New Roman" w:hAnsi="Times New Roman" w:cs="Times New Roman" w:hint="eastAsia"/>
          <w:sz w:val="16"/>
          <w:szCs w:val="16"/>
        </w:rPr>
        <w:t xml:space="preserve"> </w:t>
      </w:r>
      <w:proofErr w:type="spellStart"/>
      <w:r w:rsidRPr="005A5728">
        <w:rPr>
          <w:rFonts w:ascii="Times New Roman" w:hAnsi="Times New Roman" w:cs="Times New Roman" w:hint="eastAsia"/>
          <w:sz w:val="16"/>
          <w:szCs w:val="16"/>
        </w:rPr>
        <w:t>mn</w:t>
      </w:r>
      <w:proofErr w:type="spellEnd"/>
      <w:r w:rsidRPr="005A5728">
        <w:rPr>
          <w:rFonts w:ascii="Times New Roman" w:hAnsi="Times New Roman" w:cs="Times New Roman" w:hint="eastAsia"/>
          <w:sz w:val="16"/>
          <w:szCs w:val="16"/>
        </w:rPr>
        <w:t>, %)</w:t>
      </w:r>
    </w:p>
    <w:tbl>
      <w:tblPr>
        <w:tblW w:w="7149" w:type="dxa"/>
        <w:tblInd w:w="941" w:type="dxa"/>
        <w:tblCellMar>
          <w:left w:w="99" w:type="dxa"/>
          <w:right w:w="99" w:type="dxa"/>
        </w:tblCellMar>
        <w:tblLook w:val="04A0"/>
      </w:tblPr>
      <w:tblGrid>
        <w:gridCol w:w="1262"/>
        <w:gridCol w:w="1186"/>
        <w:gridCol w:w="1229"/>
        <w:gridCol w:w="1186"/>
        <w:gridCol w:w="1229"/>
        <w:gridCol w:w="1057"/>
      </w:tblGrid>
      <w:tr w:rsidR="00F6397A" w:rsidRPr="00F6397A" w:rsidTr="00591EE7">
        <w:trPr>
          <w:trHeight w:val="775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939393"/>
              <w:right w:val="single" w:sz="4" w:space="0" w:color="939393"/>
            </w:tcBorders>
            <w:shd w:val="clear" w:color="000000" w:fill="435917"/>
            <w:vAlign w:val="center"/>
            <w:hideMark/>
          </w:tcPr>
          <w:p w:rsidR="00F6397A" w:rsidRPr="00591EE7" w:rsidRDefault="00B76484" w:rsidP="00F639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591EE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6"/>
                <w:szCs w:val="16"/>
              </w:rPr>
              <w:t>Category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nil"/>
              <w:right w:val="single" w:sz="4" w:space="0" w:color="939393"/>
            </w:tcBorders>
            <w:shd w:val="clear" w:color="000000" w:fill="435917"/>
            <w:vAlign w:val="center"/>
            <w:hideMark/>
          </w:tcPr>
          <w:p w:rsidR="00F6397A" w:rsidRPr="00591EE7" w:rsidRDefault="00F6397A" w:rsidP="00F639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591EE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6"/>
                <w:szCs w:val="16"/>
              </w:rPr>
              <w:t>Public Placement Fund</w:t>
            </w:r>
            <w:r w:rsidR="00C2108F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6"/>
                <w:szCs w:val="16"/>
              </w:rPr>
              <w:t>s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nil"/>
              <w:right w:val="single" w:sz="4" w:space="0" w:color="939393"/>
            </w:tcBorders>
            <w:shd w:val="clear" w:color="000000" w:fill="435917"/>
            <w:vAlign w:val="center"/>
            <w:hideMark/>
          </w:tcPr>
          <w:p w:rsidR="00F6397A" w:rsidRPr="00591EE7" w:rsidRDefault="00F6397A" w:rsidP="00F639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591EE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6"/>
                <w:szCs w:val="16"/>
              </w:rPr>
              <w:t>Proportion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nil"/>
              <w:right w:val="single" w:sz="4" w:space="0" w:color="939393"/>
            </w:tcBorders>
            <w:shd w:val="clear" w:color="000000" w:fill="435917"/>
            <w:vAlign w:val="center"/>
            <w:hideMark/>
          </w:tcPr>
          <w:p w:rsidR="00F6397A" w:rsidRPr="00591EE7" w:rsidRDefault="00F6397A" w:rsidP="00F639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591EE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6"/>
                <w:szCs w:val="16"/>
              </w:rPr>
              <w:t>Private Placement Fund</w:t>
            </w:r>
            <w:r w:rsidR="00C2108F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6"/>
                <w:szCs w:val="16"/>
              </w:rPr>
              <w:t>s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nil"/>
              <w:right w:val="single" w:sz="4" w:space="0" w:color="939393"/>
            </w:tcBorders>
            <w:shd w:val="clear" w:color="000000" w:fill="435917"/>
            <w:vAlign w:val="center"/>
            <w:hideMark/>
          </w:tcPr>
          <w:p w:rsidR="00F6397A" w:rsidRPr="00591EE7" w:rsidRDefault="00F6397A" w:rsidP="00F639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591EE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6"/>
                <w:szCs w:val="16"/>
              </w:rPr>
              <w:t>Proportion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435917"/>
            <w:vAlign w:val="center"/>
            <w:hideMark/>
          </w:tcPr>
          <w:p w:rsidR="00F6397A" w:rsidRPr="00591EE7" w:rsidRDefault="00F6397A" w:rsidP="00F639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591EE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6"/>
                <w:szCs w:val="16"/>
              </w:rPr>
              <w:t>Total</w:t>
            </w:r>
          </w:p>
        </w:tc>
      </w:tr>
      <w:tr w:rsidR="00F6397A" w:rsidRPr="00F6397A" w:rsidTr="00591EE7">
        <w:trPr>
          <w:trHeight w:val="110"/>
        </w:trPr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939393"/>
              <w:right w:val="single" w:sz="4" w:space="0" w:color="939393"/>
            </w:tcBorders>
            <w:vAlign w:val="center"/>
            <w:hideMark/>
          </w:tcPr>
          <w:p w:rsidR="00F6397A" w:rsidRPr="00F6397A" w:rsidRDefault="00F6397A" w:rsidP="00F639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939393"/>
              <w:right w:val="single" w:sz="4" w:space="0" w:color="939393"/>
            </w:tcBorders>
            <w:shd w:val="clear" w:color="000000" w:fill="435917"/>
            <w:vAlign w:val="center"/>
            <w:hideMark/>
          </w:tcPr>
          <w:p w:rsidR="00F6397A" w:rsidRPr="00F6397A" w:rsidRDefault="00F6397A" w:rsidP="00F639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F6397A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(a)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939393"/>
              <w:right w:val="single" w:sz="4" w:space="0" w:color="939393"/>
            </w:tcBorders>
            <w:shd w:val="clear" w:color="000000" w:fill="435917"/>
            <w:vAlign w:val="center"/>
            <w:hideMark/>
          </w:tcPr>
          <w:p w:rsidR="00F6397A" w:rsidRPr="00F6397A" w:rsidRDefault="00F6397A" w:rsidP="00F639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F6397A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(a/c)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939393"/>
              <w:right w:val="single" w:sz="4" w:space="0" w:color="939393"/>
            </w:tcBorders>
            <w:shd w:val="clear" w:color="000000" w:fill="435917"/>
            <w:vAlign w:val="center"/>
            <w:hideMark/>
          </w:tcPr>
          <w:p w:rsidR="00F6397A" w:rsidRPr="00F6397A" w:rsidRDefault="00F6397A" w:rsidP="00F639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F6397A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(b)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939393"/>
              <w:right w:val="single" w:sz="4" w:space="0" w:color="939393"/>
            </w:tcBorders>
            <w:shd w:val="clear" w:color="000000" w:fill="435917"/>
            <w:vAlign w:val="center"/>
            <w:hideMark/>
          </w:tcPr>
          <w:p w:rsidR="00F6397A" w:rsidRPr="00F6397A" w:rsidRDefault="00F6397A" w:rsidP="00F639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F6397A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(b/c)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39393"/>
              <w:right w:val="single" w:sz="4" w:space="0" w:color="000000"/>
            </w:tcBorders>
            <w:shd w:val="clear" w:color="000000" w:fill="435917"/>
            <w:vAlign w:val="center"/>
            <w:hideMark/>
          </w:tcPr>
          <w:p w:rsidR="00F6397A" w:rsidRPr="00F6397A" w:rsidRDefault="00F6397A" w:rsidP="00F639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F6397A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(c)</w:t>
            </w:r>
          </w:p>
        </w:tc>
      </w:tr>
      <w:tr w:rsidR="00F6397A" w:rsidRPr="00F6397A" w:rsidTr="00F6397A">
        <w:trPr>
          <w:trHeight w:val="810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939393"/>
              <w:right w:val="single" w:sz="4" w:space="0" w:color="939393"/>
            </w:tcBorders>
            <w:shd w:val="clear" w:color="000000" w:fill="C9E78A"/>
            <w:vAlign w:val="center"/>
            <w:hideMark/>
          </w:tcPr>
          <w:p w:rsidR="00F6397A" w:rsidRPr="00591EE7" w:rsidRDefault="00F6397A" w:rsidP="00F639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591EE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Domestic Investment Fund</w:t>
            </w:r>
            <w:r w:rsidR="00C2108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939393"/>
              <w:right w:val="single" w:sz="4" w:space="0" w:color="939393"/>
            </w:tcBorders>
            <w:shd w:val="clear" w:color="auto" w:fill="auto"/>
            <w:vAlign w:val="center"/>
            <w:hideMark/>
          </w:tcPr>
          <w:p w:rsidR="00F6397A" w:rsidRPr="00F6397A" w:rsidRDefault="00F6397A" w:rsidP="00F6397A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6397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91,531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939393"/>
              <w:right w:val="single" w:sz="4" w:space="0" w:color="939393"/>
            </w:tcBorders>
            <w:shd w:val="clear" w:color="auto" w:fill="auto"/>
            <w:vAlign w:val="center"/>
            <w:hideMark/>
          </w:tcPr>
          <w:p w:rsidR="00F6397A" w:rsidRPr="00F6397A" w:rsidRDefault="00F6397A" w:rsidP="00F6397A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6397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9.70%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939393"/>
              <w:right w:val="single" w:sz="4" w:space="0" w:color="939393"/>
            </w:tcBorders>
            <w:shd w:val="clear" w:color="auto" w:fill="auto"/>
            <w:vAlign w:val="center"/>
            <w:hideMark/>
          </w:tcPr>
          <w:p w:rsidR="00F6397A" w:rsidRPr="00F6397A" w:rsidRDefault="00F6397A" w:rsidP="00F6397A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6397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854,513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939393"/>
              <w:right w:val="single" w:sz="4" w:space="0" w:color="939393"/>
            </w:tcBorders>
            <w:shd w:val="clear" w:color="auto" w:fill="auto"/>
            <w:vAlign w:val="center"/>
            <w:hideMark/>
          </w:tcPr>
          <w:p w:rsidR="00F6397A" w:rsidRPr="00F6397A" w:rsidRDefault="00F6397A" w:rsidP="00F6397A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6397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90.30%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3939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97A" w:rsidRPr="00F6397A" w:rsidRDefault="00F6397A" w:rsidP="00F6397A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6397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946,044</w:t>
            </w:r>
          </w:p>
        </w:tc>
      </w:tr>
      <w:tr w:rsidR="00F6397A" w:rsidRPr="00F6397A" w:rsidTr="00F6397A">
        <w:trPr>
          <w:trHeight w:val="810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939393"/>
              <w:right w:val="single" w:sz="4" w:space="0" w:color="939393"/>
            </w:tcBorders>
            <w:shd w:val="clear" w:color="000000" w:fill="C9E78A"/>
            <w:vAlign w:val="center"/>
            <w:hideMark/>
          </w:tcPr>
          <w:p w:rsidR="00F6397A" w:rsidRPr="00591EE7" w:rsidRDefault="00F6397A" w:rsidP="00F639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591EE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Overseas Investment Fund</w:t>
            </w:r>
            <w:r w:rsidR="00C2108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939393"/>
              <w:right w:val="single" w:sz="4" w:space="0" w:color="939393"/>
            </w:tcBorders>
            <w:shd w:val="clear" w:color="auto" w:fill="auto"/>
            <w:vAlign w:val="center"/>
            <w:hideMark/>
          </w:tcPr>
          <w:p w:rsidR="00F6397A" w:rsidRPr="00F6397A" w:rsidRDefault="00F6397A" w:rsidP="00F6397A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6397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1,079,308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939393"/>
              <w:right w:val="single" w:sz="4" w:space="0" w:color="939393"/>
            </w:tcBorders>
            <w:shd w:val="clear" w:color="auto" w:fill="auto"/>
            <w:vAlign w:val="center"/>
            <w:hideMark/>
          </w:tcPr>
          <w:p w:rsidR="00F6397A" w:rsidRPr="00F6397A" w:rsidRDefault="00F6397A" w:rsidP="00F6397A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6397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62.30%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939393"/>
              <w:right w:val="single" w:sz="4" w:space="0" w:color="939393"/>
            </w:tcBorders>
            <w:shd w:val="clear" w:color="auto" w:fill="auto"/>
            <w:vAlign w:val="center"/>
            <w:hideMark/>
          </w:tcPr>
          <w:p w:rsidR="00F6397A" w:rsidRPr="00F6397A" w:rsidRDefault="00F6397A" w:rsidP="00F6397A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6397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652,997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939393"/>
              <w:right w:val="single" w:sz="4" w:space="0" w:color="939393"/>
            </w:tcBorders>
            <w:shd w:val="clear" w:color="auto" w:fill="auto"/>
            <w:vAlign w:val="center"/>
            <w:hideMark/>
          </w:tcPr>
          <w:p w:rsidR="00F6397A" w:rsidRPr="00F6397A" w:rsidRDefault="00F6397A" w:rsidP="00F6397A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6397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37.70%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3939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97A" w:rsidRPr="00F6397A" w:rsidRDefault="00F6397A" w:rsidP="00F6397A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6397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1,732,305</w:t>
            </w:r>
          </w:p>
        </w:tc>
      </w:tr>
      <w:tr w:rsidR="00F6397A" w:rsidRPr="00F6397A" w:rsidTr="00F6397A">
        <w:trPr>
          <w:trHeight w:val="810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939393"/>
            </w:tcBorders>
            <w:shd w:val="clear" w:color="000000" w:fill="C9E78A"/>
            <w:vAlign w:val="center"/>
            <w:hideMark/>
          </w:tcPr>
          <w:p w:rsidR="00F6397A" w:rsidRPr="00591EE7" w:rsidRDefault="00F6397A" w:rsidP="00F639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591EE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939393"/>
            </w:tcBorders>
            <w:shd w:val="clear" w:color="auto" w:fill="auto"/>
            <w:vAlign w:val="center"/>
            <w:hideMark/>
          </w:tcPr>
          <w:p w:rsidR="00F6397A" w:rsidRPr="00F6397A" w:rsidRDefault="00F6397A" w:rsidP="00F6397A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6397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1,170,839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939393"/>
            </w:tcBorders>
            <w:shd w:val="clear" w:color="auto" w:fill="auto"/>
            <w:vAlign w:val="center"/>
            <w:hideMark/>
          </w:tcPr>
          <w:p w:rsidR="00F6397A" w:rsidRPr="00F6397A" w:rsidRDefault="00F6397A" w:rsidP="00F6397A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6397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43.70%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939393"/>
            </w:tcBorders>
            <w:shd w:val="clear" w:color="auto" w:fill="auto"/>
            <w:vAlign w:val="center"/>
            <w:hideMark/>
          </w:tcPr>
          <w:p w:rsidR="00F6397A" w:rsidRPr="00F6397A" w:rsidRDefault="00F6397A" w:rsidP="00F6397A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6397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1,507,510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939393"/>
            </w:tcBorders>
            <w:shd w:val="clear" w:color="auto" w:fill="auto"/>
            <w:vAlign w:val="center"/>
            <w:hideMark/>
          </w:tcPr>
          <w:p w:rsidR="00F6397A" w:rsidRPr="00F6397A" w:rsidRDefault="00F6397A" w:rsidP="00F6397A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6397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56.30%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97A" w:rsidRPr="00F6397A" w:rsidRDefault="00F6397A" w:rsidP="00F6397A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6397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2,678,349</w:t>
            </w:r>
          </w:p>
        </w:tc>
      </w:tr>
    </w:tbl>
    <w:p w:rsidR="00233FC7" w:rsidRDefault="00233FC7" w:rsidP="00F6397A">
      <w:pPr>
        <w:ind w:leftChars="200" w:left="707" w:hangingChars="128" w:hanging="307"/>
        <w:jc w:val="left"/>
        <w:rPr>
          <w:rFonts w:ascii="Times New Roman" w:hAnsi="Times New Roman" w:cs="Times New Roman"/>
          <w:sz w:val="24"/>
          <w:szCs w:val="24"/>
        </w:rPr>
      </w:pPr>
    </w:p>
    <w:p w:rsidR="00F6397A" w:rsidRDefault="00F6397A" w:rsidP="00F6397A">
      <w:pPr>
        <w:ind w:leftChars="200" w:left="707" w:hangingChars="128" w:hanging="307"/>
        <w:jc w:val="left"/>
        <w:rPr>
          <w:rFonts w:ascii="Times New Roman" w:hAnsi="Times New Roman" w:cs="Times New Roman"/>
          <w:sz w:val="24"/>
          <w:szCs w:val="24"/>
        </w:rPr>
      </w:pPr>
    </w:p>
    <w:p w:rsidR="00F6397A" w:rsidRDefault="00F6397A" w:rsidP="00F6397A">
      <w:pPr>
        <w:ind w:leftChars="200" w:left="707" w:hangingChars="128" w:hanging="307"/>
        <w:jc w:val="left"/>
        <w:rPr>
          <w:rFonts w:ascii="Times New Roman" w:hAnsi="Times New Roman" w:cs="Times New Roman"/>
          <w:sz w:val="24"/>
          <w:szCs w:val="24"/>
        </w:rPr>
      </w:pPr>
    </w:p>
    <w:p w:rsidR="002707E2" w:rsidRDefault="002707E2" w:rsidP="00270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7E2">
        <w:rPr>
          <w:rFonts w:ascii="Times New Roman" w:hAnsi="Times New Roman" w:cs="Times New Roman" w:hint="eastAsia"/>
          <w:b/>
          <w:sz w:val="24"/>
          <w:szCs w:val="24"/>
        </w:rPr>
        <w:t>&lt;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Valuation by Income Fund Asset</w:t>
      </w:r>
      <w:r w:rsidRPr="002707E2">
        <w:rPr>
          <w:rFonts w:ascii="Times New Roman" w:hAnsi="Times New Roman" w:cs="Times New Roman" w:hint="eastAsia"/>
          <w:b/>
          <w:sz w:val="24"/>
          <w:szCs w:val="24"/>
        </w:rPr>
        <w:t xml:space="preserve"> (as of April 25, 2013)&gt;</w:t>
      </w:r>
    </w:p>
    <w:p w:rsidR="002707E2" w:rsidRPr="002707E2" w:rsidRDefault="002707E2" w:rsidP="002707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7E2" w:rsidRPr="005A5728" w:rsidRDefault="002707E2" w:rsidP="002707E2">
      <w:pPr>
        <w:ind w:leftChars="200" w:left="707" w:hangingChars="128" w:hanging="30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="005A5728">
        <w:rPr>
          <w:rFonts w:ascii="Times New Roman" w:hAnsi="Times New Roman" w:cs="Times New Roman" w:hint="eastAsia"/>
          <w:sz w:val="24"/>
          <w:szCs w:val="24"/>
        </w:rPr>
        <w:tab/>
      </w:r>
      <w:r w:rsidRPr="005A5728">
        <w:rPr>
          <w:rFonts w:ascii="Times New Roman" w:hAnsi="Times New Roman" w:cs="Times New Roman" w:hint="eastAsia"/>
          <w:sz w:val="16"/>
          <w:szCs w:val="16"/>
        </w:rPr>
        <w:t>(Unit: KRW</w:t>
      </w:r>
      <w:r w:rsidR="00C2108F" w:rsidRPr="005A5728">
        <w:rPr>
          <w:rFonts w:ascii="Times New Roman" w:hAnsi="Times New Roman" w:cs="Times New Roman" w:hint="eastAsia"/>
          <w:sz w:val="16"/>
          <w:szCs w:val="16"/>
        </w:rPr>
        <w:t xml:space="preserve"> </w:t>
      </w:r>
      <w:proofErr w:type="spellStart"/>
      <w:r w:rsidRPr="005A5728">
        <w:rPr>
          <w:rFonts w:ascii="Times New Roman" w:hAnsi="Times New Roman" w:cs="Times New Roman" w:hint="eastAsia"/>
          <w:sz w:val="16"/>
          <w:szCs w:val="16"/>
        </w:rPr>
        <w:t>mn</w:t>
      </w:r>
      <w:proofErr w:type="spellEnd"/>
      <w:r w:rsidRPr="005A5728">
        <w:rPr>
          <w:rFonts w:ascii="Times New Roman" w:hAnsi="Times New Roman" w:cs="Times New Roman" w:hint="eastAsia"/>
          <w:sz w:val="16"/>
          <w:szCs w:val="16"/>
        </w:rPr>
        <w:t>, %)</w:t>
      </w:r>
    </w:p>
    <w:tbl>
      <w:tblPr>
        <w:tblW w:w="7205" w:type="dxa"/>
        <w:jc w:val="center"/>
        <w:tblInd w:w="734" w:type="dxa"/>
        <w:tblCellMar>
          <w:left w:w="99" w:type="dxa"/>
          <w:right w:w="99" w:type="dxa"/>
        </w:tblCellMar>
        <w:tblLook w:val="04A0"/>
      </w:tblPr>
      <w:tblGrid>
        <w:gridCol w:w="1291"/>
        <w:gridCol w:w="854"/>
        <w:gridCol w:w="940"/>
        <w:gridCol w:w="1261"/>
        <w:gridCol w:w="862"/>
        <w:gridCol w:w="940"/>
        <w:gridCol w:w="1057"/>
      </w:tblGrid>
      <w:tr w:rsidR="002707E2" w:rsidRPr="00F6397A" w:rsidTr="002707E2">
        <w:trPr>
          <w:trHeight w:val="1080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939393"/>
              <w:right w:val="single" w:sz="4" w:space="0" w:color="939393"/>
            </w:tcBorders>
            <w:shd w:val="clear" w:color="000000" w:fill="435917"/>
            <w:vAlign w:val="center"/>
            <w:hideMark/>
          </w:tcPr>
          <w:p w:rsidR="00F6397A" w:rsidRPr="00591EE7" w:rsidRDefault="00B76484" w:rsidP="00F639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591EE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6"/>
                <w:szCs w:val="16"/>
              </w:rPr>
              <w:t>Category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939393"/>
              <w:right w:val="single" w:sz="4" w:space="0" w:color="939393"/>
            </w:tcBorders>
            <w:shd w:val="clear" w:color="000000" w:fill="435917"/>
            <w:vAlign w:val="center"/>
            <w:hideMark/>
          </w:tcPr>
          <w:p w:rsidR="00F6397A" w:rsidRPr="00591EE7" w:rsidRDefault="00F6397A" w:rsidP="00C21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591EE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6"/>
                <w:szCs w:val="16"/>
              </w:rPr>
              <w:t>Equit</w:t>
            </w:r>
            <w:r w:rsidR="00C2108F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6"/>
                <w:szCs w:val="16"/>
              </w:rPr>
              <w:t>ies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939393"/>
              <w:right w:val="single" w:sz="4" w:space="0" w:color="939393"/>
            </w:tcBorders>
            <w:shd w:val="clear" w:color="000000" w:fill="435917"/>
            <w:vAlign w:val="center"/>
            <w:hideMark/>
          </w:tcPr>
          <w:p w:rsidR="00F6397A" w:rsidRPr="00591EE7" w:rsidRDefault="00F6397A" w:rsidP="00F639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591EE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6"/>
                <w:szCs w:val="16"/>
              </w:rPr>
              <w:t>Bonds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939393"/>
              <w:right w:val="single" w:sz="4" w:space="0" w:color="939393"/>
            </w:tcBorders>
            <w:shd w:val="clear" w:color="000000" w:fill="435917"/>
            <w:vAlign w:val="center"/>
            <w:hideMark/>
          </w:tcPr>
          <w:p w:rsidR="00F6397A" w:rsidRPr="00591EE7" w:rsidRDefault="00F6397A" w:rsidP="00F639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591EE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6"/>
                <w:szCs w:val="16"/>
              </w:rPr>
              <w:t>Beneficiary Certificates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939393"/>
              <w:right w:val="single" w:sz="4" w:space="0" w:color="939393"/>
            </w:tcBorders>
            <w:shd w:val="clear" w:color="000000" w:fill="435917"/>
            <w:vAlign w:val="center"/>
            <w:hideMark/>
          </w:tcPr>
          <w:p w:rsidR="00F6397A" w:rsidRPr="00591EE7" w:rsidRDefault="00F6397A" w:rsidP="00F639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591EE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6"/>
                <w:szCs w:val="16"/>
              </w:rPr>
              <w:t>Liquid Assets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939393"/>
              <w:right w:val="single" w:sz="4" w:space="0" w:color="939393"/>
            </w:tcBorders>
            <w:shd w:val="clear" w:color="000000" w:fill="435917"/>
            <w:vAlign w:val="center"/>
            <w:hideMark/>
          </w:tcPr>
          <w:p w:rsidR="00F6397A" w:rsidRPr="00591EE7" w:rsidRDefault="00F6397A" w:rsidP="00F639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591EE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6"/>
                <w:szCs w:val="16"/>
              </w:rPr>
              <w:t>Others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939393"/>
              <w:right w:val="single" w:sz="4" w:space="0" w:color="000000"/>
            </w:tcBorders>
            <w:shd w:val="clear" w:color="000000" w:fill="435917"/>
            <w:vAlign w:val="center"/>
            <w:hideMark/>
          </w:tcPr>
          <w:p w:rsidR="00F6397A" w:rsidRPr="00591EE7" w:rsidRDefault="00F6397A" w:rsidP="00F639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591EE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6"/>
                <w:szCs w:val="16"/>
              </w:rPr>
              <w:t>Total</w:t>
            </w:r>
          </w:p>
        </w:tc>
      </w:tr>
      <w:tr w:rsidR="00F6397A" w:rsidRPr="00F6397A" w:rsidTr="00591EE7">
        <w:trPr>
          <w:trHeight w:val="697"/>
          <w:jc w:val="center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939393"/>
              <w:right w:val="single" w:sz="4" w:space="0" w:color="939393"/>
            </w:tcBorders>
            <w:shd w:val="clear" w:color="000000" w:fill="C9E78A"/>
            <w:vAlign w:val="center"/>
            <w:hideMark/>
          </w:tcPr>
          <w:p w:rsidR="00F6397A" w:rsidRPr="00591EE7" w:rsidRDefault="00F6397A" w:rsidP="00F639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591EE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Domestic Investment Fund</w:t>
            </w:r>
            <w:r w:rsidR="00C2108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939393"/>
              <w:right w:val="single" w:sz="4" w:space="0" w:color="939393"/>
            </w:tcBorders>
            <w:shd w:val="clear" w:color="auto" w:fill="auto"/>
            <w:vAlign w:val="center"/>
            <w:hideMark/>
          </w:tcPr>
          <w:p w:rsidR="00F6397A" w:rsidRPr="00F6397A" w:rsidRDefault="00F6397A" w:rsidP="00F6397A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6397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63,622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939393"/>
              <w:right w:val="single" w:sz="4" w:space="0" w:color="939393"/>
            </w:tcBorders>
            <w:shd w:val="clear" w:color="auto" w:fill="auto"/>
            <w:vAlign w:val="center"/>
            <w:hideMark/>
          </w:tcPr>
          <w:p w:rsidR="00F6397A" w:rsidRPr="00F6397A" w:rsidRDefault="00F6397A" w:rsidP="00F6397A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6397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682,848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939393"/>
              <w:right w:val="single" w:sz="4" w:space="0" w:color="939393"/>
            </w:tcBorders>
            <w:shd w:val="clear" w:color="auto" w:fill="auto"/>
            <w:vAlign w:val="center"/>
            <w:hideMark/>
          </w:tcPr>
          <w:p w:rsidR="00F6397A" w:rsidRPr="00F6397A" w:rsidRDefault="00F6397A" w:rsidP="00F6397A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6397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83,841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939393"/>
              <w:right w:val="single" w:sz="4" w:space="0" w:color="939393"/>
            </w:tcBorders>
            <w:shd w:val="clear" w:color="auto" w:fill="auto"/>
            <w:vAlign w:val="center"/>
            <w:hideMark/>
          </w:tcPr>
          <w:p w:rsidR="00F6397A" w:rsidRPr="00F6397A" w:rsidRDefault="00F6397A" w:rsidP="00F6397A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6397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59,607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939393"/>
              <w:right w:val="single" w:sz="4" w:space="0" w:color="939393"/>
            </w:tcBorders>
            <w:shd w:val="clear" w:color="auto" w:fill="auto"/>
            <w:vAlign w:val="center"/>
            <w:hideMark/>
          </w:tcPr>
          <w:p w:rsidR="00F6397A" w:rsidRPr="00F6397A" w:rsidRDefault="00F6397A" w:rsidP="00F6397A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6397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56,126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3939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97A" w:rsidRPr="00F6397A" w:rsidRDefault="00F6397A" w:rsidP="00F6397A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6397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946,044</w:t>
            </w:r>
          </w:p>
        </w:tc>
      </w:tr>
      <w:tr w:rsidR="00F6397A" w:rsidRPr="00F6397A" w:rsidTr="002707E2">
        <w:trPr>
          <w:trHeight w:val="810"/>
          <w:jc w:val="center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939393"/>
              <w:right w:val="single" w:sz="4" w:space="0" w:color="939393"/>
            </w:tcBorders>
            <w:shd w:val="clear" w:color="000000" w:fill="C9E78A"/>
            <w:vAlign w:val="center"/>
            <w:hideMark/>
          </w:tcPr>
          <w:p w:rsidR="00F6397A" w:rsidRPr="00591EE7" w:rsidRDefault="00F6397A" w:rsidP="00F639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591EE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Overseas Investment Fund</w:t>
            </w:r>
            <w:r w:rsidR="00C2108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939393"/>
              <w:right w:val="single" w:sz="4" w:space="0" w:color="939393"/>
            </w:tcBorders>
            <w:shd w:val="clear" w:color="auto" w:fill="auto"/>
            <w:vAlign w:val="center"/>
            <w:hideMark/>
          </w:tcPr>
          <w:p w:rsidR="00F6397A" w:rsidRPr="00F6397A" w:rsidRDefault="00F6397A" w:rsidP="00F6397A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6397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939393"/>
              <w:right w:val="single" w:sz="4" w:space="0" w:color="939393"/>
            </w:tcBorders>
            <w:shd w:val="clear" w:color="auto" w:fill="auto"/>
            <w:vAlign w:val="center"/>
            <w:hideMark/>
          </w:tcPr>
          <w:p w:rsidR="00F6397A" w:rsidRPr="00F6397A" w:rsidRDefault="00F6397A" w:rsidP="00F6397A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6397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159,460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939393"/>
              <w:right w:val="single" w:sz="4" w:space="0" w:color="939393"/>
            </w:tcBorders>
            <w:shd w:val="clear" w:color="auto" w:fill="auto"/>
            <w:vAlign w:val="center"/>
            <w:hideMark/>
          </w:tcPr>
          <w:p w:rsidR="00F6397A" w:rsidRPr="00F6397A" w:rsidRDefault="00F6397A" w:rsidP="00F6397A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6397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1,108,697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939393"/>
              <w:right w:val="single" w:sz="4" w:space="0" w:color="939393"/>
            </w:tcBorders>
            <w:shd w:val="clear" w:color="auto" w:fill="auto"/>
            <w:vAlign w:val="center"/>
            <w:hideMark/>
          </w:tcPr>
          <w:p w:rsidR="00F6397A" w:rsidRPr="00F6397A" w:rsidRDefault="00F6397A" w:rsidP="00F6397A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6397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6,100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939393"/>
              <w:right w:val="single" w:sz="4" w:space="0" w:color="939393"/>
            </w:tcBorders>
            <w:shd w:val="clear" w:color="auto" w:fill="auto"/>
            <w:vAlign w:val="center"/>
            <w:hideMark/>
          </w:tcPr>
          <w:p w:rsidR="00F6397A" w:rsidRPr="00F6397A" w:rsidRDefault="00F6397A" w:rsidP="00F6397A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6397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458,272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3939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97A" w:rsidRPr="00F6397A" w:rsidRDefault="00F6397A" w:rsidP="00F6397A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6397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1,732,305</w:t>
            </w:r>
          </w:p>
        </w:tc>
      </w:tr>
      <w:tr w:rsidR="00F6397A" w:rsidRPr="00F6397A" w:rsidTr="002707E2">
        <w:trPr>
          <w:trHeight w:val="810"/>
          <w:jc w:val="center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939393"/>
              <w:right w:val="single" w:sz="4" w:space="0" w:color="939393"/>
            </w:tcBorders>
            <w:shd w:val="clear" w:color="000000" w:fill="C9E78A"/>
            <w:vAlign w:val="center"/>
            <w:hideMark/>
          </w:tcPr>
          <w:p w:rsidR="00F6397A" w:rsidRPr="00591EE7" w:rsidRDefault="00F6397A" w:rsidP="00F639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591EE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939393"/>
              <w:right w:val="single" w:sz="4" w:space="0" w:color="939393"/>
            </w:tcBorders>
            <w:shd w:val="clear" w:color="auto" w:fill="auto"/>
            <w:vAlign w:val="center"/>
            <w:hideMark/>
          </w:tcPr>
          <w:p w:rsidR="00F6397A" w:rsidRPr="00F6397A" w:rsidRDefault="00F6397A" w:rsidP="00F6397A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6397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63,622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939393"/>
              <w:right w:val="single" w:sz="4" w:space="0" w:color="939393"/>
            </w:tcBorders>
            <w:shd w:val="clear" w:color="auto" w:fill="auto"/>
            <w:vAlign w:val="center"/>
            <w:hideMark/>
          </w:tcPr>
          <w:p w:rsidR="00F6397A" w:rsidRPr="00F6397A" w:rsidRDefault="00F6397A" w:rsidP="00F6397A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6397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842,308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939393"/>
              <w:right w:val="single" w:sz="4" w:space="0" w:color="939393"/>
            </w:tcBorders>
            <w:shd w:val="clear" w:color="auto" w:fill="auto"/>
            <w:vAlign w:val="center"/>
            <w:hideMark/>
          </w:tcPr>
          <w:p w:rsidR="00F6397A" w:rsidRPr="00F6397A" w:rsidRDefault="00F6397A" w:rsidP="00F6397A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6397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1,192,538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939393"/>
              <w:right w:val="single" w:sz="4" w:space="0" w:color="939393"/>
            </w:tcBorders>
            <w:shd w:val="clear" w:color="auto" w:fill="auto"/>
            <w:vAlign w:val="center"/>
            <w:hideMark/>
          </w:tcPr>
          <w:p w:rsidR="00F6397A" w:rsidRPr="00F6397A" w:rsidRDefault="00F6397A" w:rsidP="00F6397A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6397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65,707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939393"/>
              <w:right w:val="single" w:sz="4" w:space="0" w:color="939393"/>
            </w:tcBorders>
            <w:shd w:val="clear" w:color="auto" w:fill="auto"/>
            <w:vAlign w:val="center"/>
            <w:hideMark/>
          </w:tcPr>
          <w:p w:rsidR="00F6397A" w:rsidRPr="00F6397A" w:rsidRDefault="00F6397A" w:rsidP="00F6397A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6397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514,398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3939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97A" w:rsidRPr="00F6397A" w:rsidRDefault="00F6397A" w:rsidP="00F6397A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6397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2,678,349</w:t>
            </w:r>
          </w:p>
        </w:tc>
      </w:tr>
      <w:tr w:rsidR="00F6397A" w:rsidRPr="00F6397A" w:rsidTr="002707E2">
        <w:trPr>
          <w:trHeight w:val="810"/>
          <w:jc w:val="center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939393"/>
            </w:tcBorders>
            <w:shd w:val="clear" w:color="000000" w:fill="C9E78A"/>
            <w:vAlign w:val="center"/>
            <w:hideMark/>
          </w:tcPr>
          <w:p w:rsidR="00F6397A" w:rsidRPr="00591EE7" w:rsidRDefault="00F6397A" w:rsidP="00C21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591EE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>Proportion</w:t>
            </w:r>
            <w:r w:rsidRPr="00591EE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o</w:t>
            </w:r>
            <w:r w:rsidR="00C2108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f</w:t>
            </w:r>
            <w:r w:rsidRPr="00591EE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Total Assets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939393"/>
            </w:tcBorders>
            <w:shd w:val="clear" w:color="auto" w:fill="auto"/>
            <w:vAlign w:val="center"/>
            <w:hideMark/>
          </w:tcPr>
          <w:p w:rsidR="00F6397A" w:rsidRPr="00F6397A" w:rsidRDefault="00F6397A" w:rsidP="00F6397A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6397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2.40%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939393"/>
            </w:tcBorders>
            <w:shd w:val="clear" w:color="auto" w:fill="auto"/>
            <w:vAlign w:val="center"/>
            <w:hideMark/>
          </w:tcPr>
          <w:p w:rsidR="00F6397A" w:rsidRPr="00F6397A" w:rsidRDefault="00F6397A" w:rsidP="00F6397A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6397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31.40%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939393"/>
            </w:tcBorders>
            <w:shd w:val="clear" w:color="auto" w:fill="auto"/>
            <w:vAlign w:val="center"/>
            <w:hideMark/>
          </w:tcPr>
          <w:p w:rsidR="00F6397A" w:rsidRPr="00F6397A" w:rsidRDefault="00F6397A" w:rsidP="00F6397A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6397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44.50%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939393"/>
            </w:tcBorders>
            <w:shd w:val="clear" w:color="auto" w:fill="auto"/>
            <w:vAlign w:val="center"/>
            <w:hideMark/>
          </w:tcPr>
          <w:p w:rsidR="00F6397A" w:rsidRPr="00F6397A" w:rsidRDefault="00F6397A" w:rsidP="00F6397A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6397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2.50%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939393"/>
            </w:tcBorders>
            <w:shd w:val="clear" w:color="auto" w:fill="auto"/>
            <w:vAlign w:val="center"/>
            <w:hideMark/>
          </w:tcPr>
          <w:p w:rsidR="00F6397A" w:rsidRPr="00F6397A" w:rsidRDefault="00F6397A" w:rsidP="00F6397A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6397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19.20%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97A" w:rsidRPr="00F6397A" w:rsidRDefault="00F6397A" w:rsidP="00F6397A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6397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100.00%</w:t>
            </w:r>
          </w:p>
        </w:tc>
      </w:tr>
    </w:tbl>
    <w:p w:rsidR="00F6397A" w:rsidRDefault="00F6397A" w:rsidP="00F6397A">
      <w:pPr>
        <w:ind w:leftChars="200" w:left="707" w:hangingChars="128" w:hanging="307"/>
        <w:jc w:val="left"/>
        <w:rPr>
          <w:rFonts w:ascii="Times New Roman" w:hAnsi="Times New Roman" w:cs="Times New Roman"/>
          <w:sz w:val="24"/>
          <w:szCs w:val="24"/>
        </w:rPr>
      </w:pPr>
    </w:p>
    <w:p w:rsidR="00233FC7" w:rsidRDefault="00233FC7" w:rsidP="00233FC7">
      <w:pPr>
        <w:pStyle w:val="a3"/>
        <w:ind w:leftChars="0" w:left="7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[Feature </w:t>
      </w:r>
      <w:r w:rsidR="00063F6B">
        <w:rPr>
          <w:rFonts w:ascii="Times New Roman" w:hAnsi="Times New Roman" w:cs="Times New Roman" w:hint="eastAsia"/>
          <w:b/>
          <w:sz w:val="24"/>
          <w:szCs w:val="24"/>
        </w:rPr>
        <w:t>II</w:t>
      </w:r>
      <w:r>
        <w:rPr>
          <w:rFonts w:ascii="Times New Roman" w:hAnsi="Times New Roman" w:cs="Times New Roman" w:hint="eastAsia"/>
          <w:b/>
          <w:sz w:val="24"/>
          <w:szCs w:val="24"/>
        </w:rPr>
        <w:t>]</w:t>
      </w:r>
      <w:r w:rsidRPr="006F557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9D75CA">
        <w:rPr>
          <w:rFonts w:ascii="Times New Roman" w:hAnsi="Times New Roman" w:cs="Times New Roman" w:hint="eastAsia"/>
          <w:b/>
          <w:sz w:val="24"/>
          <w:szCs w:val="24"/>
        </w:rPr>
        <w:t xml:space="preserve">Slow, </w:t>
      </w:r>
      <w:r w:rsidR="00145812">
        <w:rPr>
          <w:rFonts w:ascii="Times New Roman" w:hAnsi="Times New Roman" w:cs="Times New Roman" w:hint="eastAsia"/>
          <w:b/>
          <w:sz w:val="24"/>
          <w:szCs w:val="24"/>
        </w:rPr>
        <w:t>Steady</w:t>
      </w:r>
      <w:r w:rsidR="009D75CA">
        <w:rPr>
          <w:rFonts w:ascii="Times New Roman" w:hAnsi="Times New Roman" w:cs="Times New Roman" w:hint="eastAsia"/>
          <w:b/>
          <w:sz w:val="24"/>
          <w:szCs w:val="24"/>
        </w:rPr>
        <w:t xml:space="preserve"> Growth of Real Estate Funds </w:t>
      </w:r>
    </w:p>
    <w:p w:rsidR="00E5346E" w:rsidRDefault="00E5346E" w:rsidP="00E5346E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45827" w:rsidRPr="00E5346E" w:rsidRDefault="00545827" w:rsidP="00E5346E">
      <w:pPr>
        <w:ind w:left="7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5346E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E5346E">
        <w:rPr>
          <w:rFonts w:ascii="Times New Roman" w:hAnsi="Times New Roman" w:cs="Times New Roman"/>
          <w:sz w:val="24"/>
          <w:szCs w:val="24"/>
        </w:rPr>
        <w:t>growth</w:t>
      </w:r>
      <w:r w:rsidRPr="00E5346E">
        <w:rPr>
          <w:rFonts w:ascii="Times New Roman" w:hAnsi="Times New Roman" w:cs="Times New Roman" w:hint="eastAsia"/>
          <w:sz w:val="24"/>
          <w:szCs w:val="24"/>
        </w:rPr>
        <w:t xml:space="preserve"> of real estate funds amid a downturn in the </w:t>
      </w:r>
      <w:r w:rsidR="00E020D0" w:rsidRPr="00E5346E">
        <w:rPr>
          <w:rFonts w:ascii="Times New Roman" w:hAnsi="Times New Roman" w:cs="Times New Roman"/>
          <w:sz w:val="24"/>
          <w:szCs w:val="24"/>
        </w:rPr>
        <w:t>conditions</w:t>
      </w:r>
      <w:r w:rsidR="00E020D0" w:rsidRPr="00E5346E">
        <w:rPr>
          <w:rFonts w:ascii="Times New Roman" w:hAnsi="Times New Roman" w:cs="Times New Roman" w:hint="eastAsia"/>
          <w:sz w:val="24"/>
          <w:szCs w:val="24"/>
        </w:rPr>
        <w:t xml:space="preserve"> of the </w:t>
      </w:r>
      <w:r w:rsidRPr="00E5346E">
        <w:rPr>
          <w:rFonts w:ascii="Times New Roman" w:hAnsi="Times New Roman" w:cs="Times New Roman" w:hint="eastAsia"/>
          <w:sz w:val="24"/>
          <w:szCs w:val="24"/>
        </w:rPr>
        <w:t>real estate and construction</w:t>
      </w:r>
      <w:r w:rsidR="00E020D0" w:rsidRPr="00E5346E">
        <w:rPr>
          <w:rFonts w:ascii="Times New Roman" w:hAnsi="Times New Roman" w:cs="Times New Roman" w:hint="eastAsia"/>
          <w:sz w:val="24"/>
          <w:szCs w:val="24"/>
        </w:rPr>
        <w:t xml:space="preserve"> market</w:t>
      </w:r>
      <w:r w:rsidR="003904CF" w:rsidRPr="00E5346E">
        <w:rPr>
          <w:rFonts w:ascii="Times New Roman" w:hAnsi="Times New Roman" w:cs="Times New Roman" w:hint="eastAsia"/>
          <w:sz w:val="24"/>
          <w:szCs w:val="24"/>
        </w:rPr>
        <w:t>s</w:t>
      </w:r>
      <w:r w:rsidRPr="00E5346E">
        <w:rPr>
          <w:rFonts w:ascii="Times New Roman" w:hAnsi="Times New Roman" w:cs="Times New Roman" w:hint="eastAsia"/>
          <w:sz w:val="24"/>
          <w:szCs w:val="24"/>
        </w:rPr>
        <w:t xml:space="preserve"> is attributed to causes such as institutional investors </w:t>
      </w:r>
      <w:r w:rsidR="00C744DA" w:rsidRPr="00E5346E">
        <w:rPr>
          <w:rFonts w:ascii="Times New Roman" w:hAnsi="Times New Roman" w:cs="Times New Roman" w:hint="eastAsia"/>
          <w:sz w:val="24"/>
          <w:szCs w:val="24"/>
        </w:rPr>
        <w:t xml:space="preserve">seeking more alternative investments </w:t>
      </w:r>
      <w:r w:rsidRPr="00E5346E">
        <w:rPr>
          <w:rFonts w:ascii="Times New Roman" w:hAnsi="Times New Roman" w:cs="Times New Roman" w:hint="eastAsia"/>
          <w:sz w:val="24"/>
          <w:szCs w:val="24"/>
        </w:rPr>
        <w:t>due to the bearish stock market.</w:t>
      </w:r>
    </w:p>
    <w:p w:rsidR="00545827" w:rsidRDefault="00545827" w:rsidP="0054582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45827" w:rsidRPr="00C744DA" w:rsidRDefault="00545827" w:rsidP="0054582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45827" w:rsidRPr="00545827" w:rsidRDefault="00545827" w:rsidP="00545827">
      <w:pPr>
        <w:pStyle w:val="a3"/>
        <w:numPr>
          <w:ilvl w:val="0"/>
          <w:numId w:val="13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45827">
        <w:rPr>
          <w:rFonts w:ascii="Times New Roman" w:hAnsi="Times New Roman" w:cs="Times New Roman" w:hint="eastAsia"/>
          <w:sz w:val="24"/>
          <w:szCs w:val="24"/>
        </w:rPr>
        <w:t>(</w:t>
      </w:r>
      <w:r w:rsidR="003904CF">
        <w:rPr>
          <w:rFonts w:ascii="Times New Roman" w:hAnsi="Times New Roman" w:cs="Times New Roman" w:hint="eastAsia"/>
          <w:sz w:val="24"/>
          <w:szCs w:val="24"/>
        </w:rPr>
        <w:t>Real E</w:t>
      </w:r>
      <w:r>
        <w:rPr>
          <w:rFonts w:ascii="Times New Roman" w:hAnsi="Times New Roman" w:cs="Times New Roman" w:hint="eastAsia"/>
          <w:sz w:val="24"/>
          <w:szCs w:val="24"/>
        </w:rPr>
        <w:t>state</w:t>
      </w:r>
      <w:r w:rsidRPr="0054582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904CF">
        <w:rPr>
          <w:rFonts w:ascii="Times New Roman" w:hAnsi="Times New Roman" w:cs="Times New Roman" w:hint="eastAsia"/>
          <w:sz w:val="24"/>
          <w:szCs w:val="24"/>
        </w:rPr>
        <w:t>F</w:t>
      </w:r>
      <w:r w:rsidRPr="00545827">
        <w:rPr>
          <w:rFonts w:ascii="Times New Roman" w:hAnsi="Times New Roman" w:cs="Times New Roman" w:hint="eastAsia"/>
          <w:sz w:val="24"/>
          <w:szCs w:val="24"/>
        </w:rPr>
        <w:t>unds)</w:t>
      </w:r>
      <w:r w:rsidR="00C744D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3772B">
        <w:rPr>
          <w:rFonts w:ascii="Times New Roman" w:hAnsi="Times New Roman" w:cs="Times New Roman" w:hint="eastAsia"/>
          <w:sz w:val="24"/>
          <w:szCs w:val="24"/>
        </w:rPr>
        <w:t xml:space="preserve">Despite the </w:t>
      </w:r>
      <w:r w:rsidR="00BA7B1B">
        <w:rPr>
          <w:rFonts w:ascii="Times New Roman" w:hAnsi="Times New Roman" w:cs="Times New Roman" w:hint="eastAsia"/>
          <w:sz w:val="24"/>
          <w:szCs w:val="24"/>
        </w:rPr>
        <w:t xml:space="preserve">stagnant domestic real estate </w:t>
      </w:r>
      <w:r w:rsidR="006C1406">
        <w:rPr>
          <w:rFonts w:ascii="Times New Roman" w:hAnsi="Times New Roman" w:cs="Times New Roman" w:hint="eastAsia"/>
          <w:sz w:val="24"/>
          <w:szCs w:val="24"/>
        </w:rPr>
        <w:t>market</w:t>
      </w:r>
      <w:r w:rsidR="00BA7B1B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93772B">
        <w:rPr>
          <w:rFonts w:ascii="Times New Roman" w:hAnsi="Times New Roman" w:cs="Times New Roman" w:hint="eastAsia"/>
          <w:sz w:val="24"/>
          <w:szCs w:val="24"/>
        </w:rPr>
        <w:t>weak real estate project financing</w:t>
      </w:r>
      <w:r w:rsidR="00BA7B1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C1406">
        <w:rPr>
          <w:rFonts w:ascii="Times New Roman" w:hAnsi="Times New Roman" w:cs="Times New Roman" w:hint="eastAsia"/>
          <w:sz w:val="24"/>
          <w:szCs w:val="24"/>
        </w:rPr>
        <w:t xml:space="preserve">conditions </w:t>
      </w:r>
      <w:r w:rsidR="009455AD">
        <w:rPr>
          <w:rFonts w:ascii="Times New Roman" w:hAnsi="Times New Roman" w:cs="Times New Roman" w:hint="eastAsia"/>
          <w:sz w:val="24"/>
          <w:szCs w:val="24"/>
        </w:rPr>
        <w:t xml:space="preserve">over </w:t>
      </w:r>
      <w:r w:rsidR="00BA7B1B">
        <w:rPr>
          <w:rFonts w:ascii="Times New Roman" w:hAnsi="Times New Roman" w:cs="Times New Roman" w:hint="eastAsia"/>
          <w:sz w:val="24"/>
          <w:szCs w:val="24"/>
        </w:rPr>
        <w:t xml:space="preserve">the past few years, the AUM of real estate funds grew to KRW20.7tn on the back of </w:t>
      </w:r>
      <w:r w:rsidR="009455AD">
        <w:rPr>
          <w:rFonts w:ascii="Times New Roman" w:hAnsi="Times New Roman" w:cs="Times New Roman" w:hint="eastAsia"/>
          <w:sz w:val="24"/>
          <w:szCs w:val="24"/>
        </w:rPr>
        <w:t>an increase in</w:t>
      </w:r>
      <w:r w:rsidR="009455AD" w:rsidRPr="001C7F9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A7B1B" w:rsidRPr="001C7F98">
        <w:rPr>
          <w:rFonts w:ascii="Times New Roman" w:hAnsi="Times New Roman" w:cs="Times New Roman" w:hint="eastAsia"/>
          <w:sz w:val="24"/>
          <w:szCs w:val="24"/>
        </w:rPr>
        <w:t>buy-lease real estate funds</w:t>
      </w:r>
      <w:r w:rsidR="00BA7B1B">
        <w:rPr>
          <w:rFonts w:ascii="Times New Roman" w:hAnsi="Times New Roman" w:cs="Times New Roman" w:hint="eastAsia"/>
          <w:sz w:val="24"/>
          <w:szCs w:val="24"/>
        </w:rPr>
        <w:t xml:space="preserve">.  </w:t>
      </w:r>
      <w:r w:rsidR="0093772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744DA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45827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545827" w:rsidRPr="001C7F98" w:rsidRDefault="00545827" w:rsidP="001C7F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18" w:rsidRDefault="008B7018" w:rsidP="008B7018">
      <w:pPr>
        <w:pStyle w:val="a3"/>
        <w:numPr>
          <w:ilvl w:val="0"/>
          <w:numId w:val="1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r w:rsidR="003904CF">
        <w:rPr>
          <w:rFonts w:ascii="Times New Roman" w:hAnsi="Times New Roman" w:cs="Times New Roman" w:hint="eastAsia"/>
          <w:sz w:val="24"/>
          <w:szCs w:val="24"/>
        </w:rPr>
        <w:t>Causes of</w:t>
      </w:r>
      <w:r>
        <w:rPr>
          <w:rFonts w:ascii="Times New Roman" w:hAnsi="Times New Roman" w:cs="Times New Roman" w:hint="eastAsia"/>
          <w:sz w:val="24"/>
          <w:szCs w:val="24"/>
        </w:rPr>
        <w:t xml:space="preserve"> AUM</w:t>
      </w:r>
      <w:r w:rsidR="003904CF">
        <w:rPr>
          <w:rFonts w:ascii="Times New Roman" w:hAnsi="Times New Roman" w:cs="Times New Roman" w:hint="eastAsia"/>
          <w:sz w:val="24"/>
          <w:szCs w:val="24"/>
        </w:rPr>
        <w:t xml:space="preserve"> Increase</w:t>
      </w:r>
      <w:r>
        <w:rPr>
          <w:rFonts w:ascii="Times New Roman" w:hAnsi="Times New Roman" w:cs="Times New Roman" w:hint="eastAsia"/>
          <w:sz w:val="24"/>
          <w:szCs w:val="24"/>
        </w:rPr>
        <w:t xml:space="preserve">) The </w:t>
      </w:r>
      <w:r w:rsidR="007146B4">
        <w:rPr>
          <w:rFonts w:ascii="Times New Roman" w:hAnsi="Times New Roman" w:cs="Times New Roman" w:hint="eastAsia"/>
          <w:sz w:val="24"/>
          <w:szCs w:val="24"/>
        </w:rPr>
        <w:t>low</w:t>
      </w:r>
      <w:r>
        <w:rPr>
          <w:rFonts w:ascii="Times New Roman" w:hAnsi="Times New Roman" w:cs="Times New Roman" w:hint="eastAsia"/>
          <w:sz w:val="24"/>
          <w:szCs w:val="24"/>
        </w:rPr>
        <w:t xml:space="preserve"> returns </w:t>
      </w:r>
      <w:r w:rsidR="00AE7A24">
        <w:rPr>
          <w:rFonts w:ascii="Times New Roman" w:hAnsi="Times New Roman" w:cs="Times New Roman" w:hint="eastAsia"/>
          <w:sz w:val="24"/>
          <w:szCs w:val="24"/>
        </w:rPr>
        <w:t xml:space="preserve">for </w:t>
      </w:r>
      <w:r w:rsidR="00893073">
        <w:rPr>
          <w:rFonts w:ascii="Times New Roman" w:hAnsi="Times New Roman" w:cs="Times New Roman" w:hint="eastAsia"/>
          <w:sz w:val="24"/>
          <w:szCs w:val="24"/>
        </w:rPr>
        <w:t>securities investment funds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C1406">
        <w:rPr>
          <w:rFonts w:ascii="Times New Roman" w:hAnsi="Times New Roman" w:cs="Times New Roman" w:hint="eastAsia"/>
          <w:sz w:val="24"/>
          <w:szCs w:val="24"/>
        </w:rPr>
        <w:t>prompte</w:t>
      </w:r>
      <w:r>
        <w:rPr>
          <w:rFonts w:ascii="Times New Roman" w:hAnsi="Times New Roman" w:cs="Times New Roman" w:hint="eastAsia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increased</w:t>
      </w:r>
      <w:r>
        <w:rPr>
          <w:rFonts w:ascii="Times New Roman" w:hAnsi="Times New Roman" w:cs="Times New Roman" w:hint="eastAsia"/>
          <w:sz w:val="24"/>
          <w:szCs w:val="24"/>
        </w:rPr>
        <w:t xml:space="preserve"> investment in non-</w:t>
      </w:r>
      <w:r w:rsidR="00893073">
        <w:rPr>
          <w:rFonts w:ascii="Times New Roman" w:hAnsi="Times New Roman" w:cs="Times New Roman" w:hint="eastAsia"/>
          <w:sz w:val="24"/>
          <w:szCs w:val="24"/>
        </w:rPr>
        <w:t>securities investment funds*</w:t>
      </w:r>
      <w:r>
        <w:rPr>
          <w:rFonts w:ascii="Times New Roman" w:hAnsi="Times New Roman" w:cs="Times New Roman" w:hint="eastAsia"/>
          <w:sz w:val="24"/>
          <w:szCs w:val="24"/>
        </w:rPr>
        <w:t xml:space="preserve">, and views that the real estate </w:t>
      </w:r>
      <w:r w:rsidR="00B23F97">
        <w:rPr>
          <w:rFonts w:ascii="Times New Roman" w:hAnsi="Times New Roman" w:cs="Times New Roman" w:hint="eastAsia"/>
          <w:sz w:val="24"/>
          <w:szCs w:val="24"/>
        </w:rPr>
        <w:t xml:space="preserve">market </w:t>
      </w:r>
      <w:r>
        <w:rPr>
          <w:rFonts w:ascii="Times New Roman" w:hAnsi="Times New Roman" w:cs="Times New Roman" w:hint="eastAsia"/>
          <w:sz w:val="24"/>
          <w:szCs w:val="24"/>
        </w:rPr>
        <w:t xml:space="preserve">has hit a low is </w:t>
      </w:r>
      <w:r w:rsidR="006C1406">
        <w:rPr>
          <w:rFonts w:ascii="Times New Roman" w:hAnsi="Times New Roman" w:cs="Times New Roman" w:hint="eastAsia"/>
          <w:sz w:val="24"/>
          <w:szCs w:val="24"/>
        </w:rPr>
        <w:t>perceived</w:t>
      </w:r>
      <w:r>
        <w:rPr>
          <w:rFonts w:ascii="Times New Roman" w:hAnsi="Times New Roman" w:cs="Times New Roman" w:hint="eastAsia"/>
          <w:sz w:val="24"/>
          <w:szCs w:val="24"/>
        </w:rPr>
        <w:t xml:space="preserve"> to have </w:t>
      </w:r>
      <w:r w:rsidR="006C1406">
        <w:rPr>
          <w:rFonts w:ascii="Times New Roman" w:hAnsi="Times New Roman" w:cs="Times New Roman" w:hint="eastAsia"/>
          <w:sz w:val="24"/>
          <w:szCs w:val="24"/>
        </w:rPr>
        <w:t>boosted</w:t>
      </w:r>
      <w:r>
        <w:rPr>
          <w:rFonts w:ascii="Times New Roman" w:hAnsi="Times New Roman" w:cs="Times New Roman" w:hint="eastAsia"/>
          <w:sz w:val="24"/>
          <w:szCs w:val="24"/>
        </w:rPr>
        <w:t xml:space="preserve"> expectations.  </w:t>
      </w:r>
    </w:p>
    <w:p w:rsidR="008B7018" w:rsidRPr="003904CF" w:rsidRDefault="008B7018" w:rsidP="003904CF">
      <w:pPr>
        <w:ind w:firstLine="760"/>
        <w:jc w:val="left"/>
        <w:rPr>
          <w:rFonts w:ascii="Times New Roman" w:hAnsi="Times New Roman" w:cs="Times New Roman"/>
          <w:sz w:val="24"/>
          <w:szCs w:val="24"/>
        </w:rPr>
      </w:pPr>
      <w:r w:rsidRPr="003904CF">
        <w:rPr>
          <w:rFonts w:ascii="Times New Roman" w:hAnsi="Times New Roman" w:cs="Times New Roman" w:hint="eastAsia"/>
          <w:sz w:val="24"/>
          <w:szCs w:val="24"/>
        </w:rPr>
        <w:t xml:space="preserve">* </w:t>
      </w:r>
      <w:r w:rsidR="007146B4" w:rsidRPr="003904CF">
        <w:rPr>
          <w:rFonts w:ascii="Times New Roman" w:hAnsi="Times New Roman" w:cs="Times New Roman" w:hint="eastAsia"/>
          <w:sz w:val="24"/>
          <w:szCs w:val="24"/>
        </w:rPr>
        <w:t>R</w:t>
      </w:r>
      <w:r w:rsidRPr="003904CF">
        <w:rPr>
          <w:rFonts w:ascii="Times New Roman" w:hAnsi="Times New Roman" w:cs="Times New Roman" w:hint="eastAsia"/>
          <w:sz w:val="24"/>
          <w:szCs w:val="24"/>
        </w:rPr>
        <w:t xml:space="preserve">eal estate, derivatives, special asset funds, etc. </w:t>
      </w:r>
    </w:p>
    <w:p w:rsidR="008B7018" w:rsidRPr="003904CF" w:rsidRDefault="008B7018" w:rsidP="008B7018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145812" w:rsidRDefault="008B7018" w:rsidP="008B7018">
      <w:pPr>
        <w:pStyle w:val="a3"/>
        <w:numPr>
          <w:ilvl w:val="0"/>
          <w:numId w:val="1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145812">
        <w:rPr>
          <w:rFonts w:ascii="Times New Roman" w:hAnsi="Times New Roman" w:cs="Times New Roman" w:hint="eastAsia"/>
          <w:sz w:val="24"/>
          <w:szCs w:val="24"/>
        </w:rPr>
        <w:t xml:space="preserve">Furthermore, despite the weak housing market, </w:t>
      </w:r>
      <w:r w:rsidR="006C1406">
        <w:rPr>
          <w:rFonts w:ascii="Times New Roman" w:hAnsi="Times New Roman" w:cs="Times New Roman" w:hint="eastAsia"/>
          <w:sz w:val="24"/>
          <w:szCs w:val="24"/>
        </w:rPr>
        <w:t>the relatively</w:t>
      </w:r>
      <w:r w:rsidR="00145812">
        <w:rPr>
          <w:rFonts w:ascii="Times New Roman" w:hAnsi="Times New Roman" w:cs="Times New Roman" w:hint="eastAsia"/>
          <w:sz w:val="24"/>
          <w:szCs w:val="24"/>
        </w:rPr>
        <w:t xml:space="preserve"> favorable profitability of the commercial real estate market also </w:t>
      </w:r>
      <w:r w:rsidR="006C1406">
        <w:rPr>
          <w:rFonts w:ascii="Times New Roman" w:hAnsi="Times New Roman" w:cs="Times New Roman" w:hint="eastAsia"/>
          <w:sz w:val="24"/>
          <w:szCs w:val="24"/>
        </w:rPr>
        <w:t>played a part in the increase in</w:t>
      </w:r>
      <w:r w:rsidR="00145812">
        <w:rPr>
          <w:rFonts w:ascii="Times New Roman" w:hAnsi="Times New Roman" w:cs="Times New Roman" w:hint="eastAsia"/>
          <w:sz w:val="24"/>
          <w:szCs w:val="24"/>
        </w:rPr>
        <w:t xml:space="preserve"> real estate funds. </w:t>
      </w:r>
    </w:p>
    <w:p w:rsidR="00145812" w:rsidRDefault="00145812" w:rsidP="001458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B7018" w:rsidRPr="00145812" w:rsidRDefault="00145812" w:rsidP="00145812">
      <w:pPr>
        <w:pStyle w:val="a3"/>
        <w:numPr>
          <w:ilvl w:val="0"/>
          <w:numId w:val="13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r w:rsidR="00E942E7">
        <w:rPr>
          <w:rFonts w:ascii="Times New Roman" w:hAnsi="Times New Roman" w:cs="Times New Roman" w:hint="eastAsia"/>
          <w:sz w:val="24"/>
          <w:szCs w:val="24"/>
        </w:rPr>
        <w:t>Concentration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942E7">
        <w:rPr>
          <w:rFonts w:ascii="Times New Roman" w:hAnsi="Times New Roman" w:cs="Times New Roman" w:hint="eastAsia"/>
          <w:sz w:val="24"/>
          <w:szCs w:val="24"/>
        </w:rPr>
        <w:t>in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904CF">
        <w:rPr>
          <w:rFonts w:ascii="Times New Roman" w:hAnsi="Times New Roman" w:cs="Times New Roman" w:hint="eastAsia"/>
          <w:sz w:val="24"/>
          <w:szCs w:val="24"/>
        </w:rPr>
        <w:t>B</w:t>
      </w:r>
      <w:r>
        <w:rPr>
          <w:rFonts w:ascii="Times New Roman" w:hAnsi="Times New Roman" w:cs="Times New Roman" w:hint="eastAsia"/>
          <w:sz w:val="24"/>
          <w:szCs w:val="24"/>
        </w:rPr>
        <w:t>uy-</w:t>
      </w:r>
      <w:r w:rsidR="007C6C23">
        <w:rPr>
          <w:rFonts w:ascii="Times New Roman" w:hAnsi="Times New Roman" w:cs="Times New Roman" w:hint="eastAsia"/>
          <w:sz w:val="24"/>
          <w:szCs w:val="24"/>
        </w:rPr>
        <w:t>L</w:t>
      </w:r>
      <w:r>
        <w:rPr>
          <w:rFonts w:ascii="Times New Roman" w:hAnsi="Times New Roman" w:cs="Times New Roman" w:hint="eastAsia"/>
          <w:sz w:val="24"/>
          <w:szCs w:val="24"/>
        </w:rPr>
        <w:t xml:space="preserve">ease </w:t>
      </w:r>
      <w:r w:rsidR="007C6C23">
        <w:rPr>
          <w:rFonts w:ascii="Times New Roman" w:hAnsi="Times New Roman" w:cs="Times New Roman" w:hint="eastAsia"/>
          <w:sz w:val="24"/>
          <w:szCs w:val="24"/>
        </w:rPr>
        <w:t>Funds</w:t>
      </w:r>
      <w:r>
        <w:rPr>
          <w:rFonts w:ascii="Times New Roman" w:hAnsi="Times New Roman" w:cs="Times New Roman" w:hint="eastAsia"/>
          <w:sz w:val="24"/>
          <w:szCs w:val="24"/>
        </w:rPr>
        <w:t xml:space="preserve">) From among </w:t>
      </w:r>
      <w:r w:rsidR="006C1406">
        <w:rPr>
          <w:rFonts w:ascii="Times New Roman" w:hAnsi="Times New Roman" w:cs="Times New Roman" w:hint="eastAsia"/>
          <w:sz w:val="24"/>
          <w:szCs w:val="24"/>
        </w:rPr>
        <w:t xml:space="preserve">the types of </w:t>
      </w:r>
      <w:r>
        <w:rPr>
          <w:rFonts w:ascii="Times New Roman" w:hAnsi="Times New Roman" w:cs="Times New Roman" w:hint="eastAsia"/>
          <w:sz w:val="24"/>
          <w:szCs w:val="24"/>
        </w:rPr>
        <w:t>real estate fund</w:t>
      </w:r>
      <w:r w:rsidR="006C1406">
        <w:rPr>
          <w:rFonts w:ascii="Times New Roman" w:hAnsi="Times New Roman" w:cs="Times New Roman" w:hint="eastAsia"/>
          <w:sz w:val="24"/>
          <w:szCs w:val="24"/>
        </w:rPr>
        <w:t xml:space="preserve"> investments</w:t>
      </w:r>
      <w:r>
        <w:rPr>
          <w:rFonts w:ascii="Times New Roman" w:hAnsi="Times New Roman" w:cs="Times New Roman" w:hint="eastAsia"/>
          <w:sz w:val="24"/>
          <w:szCs w:val="24"/>
        </w:rPr>
        <w:t>*, buy-lease real estate funds have steadily increased since 2009</w:t>
      </w:r>
      <w:r w:rsidR="007C6C23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and account for the largest </w:t>
      </w:r>
      <w:r w:rsidR="006C1406">
        <w:rPr>
          <w:rFonts w:ascii="Times New Roman" w:hAnsi="Times New Roman" w:cs="Times New Roman" w:hint="eastAsia"/>
          <w:sz w:val="24"/>
          <w:szCs w:val="24"/>
        </w:rPr>
        <w:t>prop</w:t>
      </w:r>
      <w:r>
        <w:rPr>
          <w:rFonts w:ascii="Times New Roman" w:hAnsi="Times New Roman" w:cs="Times New Roman" w:hint="eastAsia"/>
          <w:sz w:val="24"/>
          <w:szCs w:val="24"/>
        </w:rPr>
        <w:t>ortion</w:t>
      </w:r>
      <w:r w:rsidR="007C6C23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9455AD">
        <w:rPr>
          <w:rFonts w:ascii="Times New Roman" w:hAnsi="Times New Roman" w:cs="Times New Roman" w:hint="eastAsia"/>
          <w:sz w:val="24"/>
          <w:szCs w:val="24"/>
        </w:rPr>
        <w:t>such</w:t>
      </w:r>
      <w:r w:rsidR="007C6C23">
        <w:rPr>
          <w:rFonts w:ascii="Times New Roman" w:hAnsi="Times New Roman" w:cs="Times New Roman" w:hint="eastAsia"/>
          <w:sz w:val="24"/>
          <w:szCs w:val="24"/>
        </w:rPr>
        <w:t xml:space="preserve"> funds</w:t>
      </w:r>
      <w:r>
        <w:rPr>
          <w:rFonts w:ascii="Times New Roman" w:hAnsi="Times New Roman" w:cs="Times New Roman" w:hint="eastAsia"/>
          <w:sz w:val="24"/>
          <w:szCs w:val="24"/>
        </w:rPr>
        <w:t xml:space="preserve"> (56%) as of April 25, 2013. </w:t>
      </w:r>
      <w:r w:rsidRPr="00145812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9D75CA" w:rsidRDefault="00545827" w:rsidP="00545827">
      <w:pPr>
        <w:jc w:val="left"/>
        <w:rPr>
          <w:rFonts w:ascii="Times New Roman" w:hAnsi="Times New Roman" w:cs="Times New Roman"/>
          <w:sz w:val="24"/>
          <w:szCs w:val="24"/>
        </w:rPr>
      </w:pPr>
      <w:r w:rsidRPr="00545827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645764" w:rsidRDefault="00645764" w:rsidP="00645764">
      <w:pPr>
        <w:ind w:left="760"/>
        <w:jc w:val="left"/>
        <w:rPr>
          <w:rFonts w:ascii="Times New Roman" w:hAnsi="Times New Roman" w:cs="Times New Roman"/>
          <w:sz w:val="24"/>
          <w:szCs w:val="24"/>
        </w:rPr>
      </w:pPr>
      <w:r w:rsidRPr="00792AAA">
        <w:rPr>
          <w:rFonts w:ascii="Times New Roman" w:hAnsi="Times New Roman" w:cs="Times New Roman" w:hint="eastAsia"/>
          <w:b/>
          <w:sz w:val="24"/>
          <w:szCs w:val="24"/>
        </w:rPr>
        <w:t xml:space="preserve">* </w:t>
      </w:r>
      <w:r w:rsidR="007C6C23">
        <w:rPr>
          <w:rFonts w:ascii="Times New Roman" w:hAnsi="Times New Roman" w:cs="Times New Roman" w:hint="eastAsia"/>
          <w:sz w:val="24"/>
          <w:szCs w:val="24"/>
        </w:rPr>
        <w:t>Based on</w:t>
      </w:r>
      <w:r w:rsidR="007C6C23" w:rsidRPr="00792AA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92AAA">
        <w:rPr>
          <w:rFonts w:ascii="Times New Roman" w:hAnsi="Times New Roman" w:cs="Times New Roman" w:hint="eastAsia"/>
          <w:sz w:val="24"/>
          <w:szCs w:val="24"/>
        </w:rPr>
        <w:t>the</w:t>
      </w:r>
      <w:r w:rsidR="006C1406">
        <w:rPr>
          <w:rFonts w:ascii="Times New Roman" w:hAnsi="Times New Roman" w:cs="Times New Roman" w:hint="eastAsia"/>
          <w:sz w:val="24"/>
          <w:szCs w:val="24"/>
        </w:rPr>
        <w:t xml:space="preserve"> types of</w:t>
      </w:r>
      <w:r w:rsidRPr="00792AAA">
        <w:rPr>
          <w:rFonts w:ascii="Times New Roman" w:hAnsi="Times New Roman" w:cs="Times New Roman" w:hint="eastAsia"/>
          <w:sz w:val="24"/>
          <w:szCs w:val="24"/>
        </w:rPr>
        <w:t xml:space="preserve"> real estate investment</w:t>
      </w:r>
      <w:r w:rsidR="007C6C23">
        <w:rPr>
          <w:rFonts w:ascii="Times New Roman" w:hAnsi="Times New Roman" w:cs="Times New Roman" w:hint="eastAsia"/>
          <w:sz w:val="24"/>
          <w:szCs w:val="24"/>
        </w:rPr>
        <w:t>s</w:t>
      </w:r>
      <w:r w:rsidRPr="00792AA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C6C23">
        <w:rPr>
          <w:rFonts w:ascii="Times New Roman" w:hAnsi="Times New Roman" w:cs="Times New Roman" w:hint="eastAsia"/>
          <w:sz w:val="24"/>
          <w:szCs w:val="24"/>
        </w:rPr>
        <w:t>under</w:t>
      </w:r>
      <w:r w:rsidR="007C6C23" w:rsidRPr="00792AA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92AAA">
        <w:rPr>
          <w:rFonts w:ascii="Times New Roman" w:hAnsi="Times New Roman" w:cs="Times New Roman" w:hint="eastAsia"/>
          <w:sz w:val="24"/>
          <w:szCs w:val="24"/>
        </w:rPr>
        <w:t>the</w:t>
      </w:r>
      <w:r w:rsidR="006C140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92AAA">
        <w:rPr>
          <w:rFonts w:ascii="Times New Roman" w:hAnsi="Times New Roman" w:cs="Times New Roman" w:hint="eastAsia"/>
          <w:sz w:val="24"/>
          <w:szCs w:val="24"/>
        </w:rPr>
        <w:t xml:space="preserve">collective investment </w:t>
      </w:r>
      <w:r w:rsidR="001C7F98" w:rsidRPr="00792AAA">
        <w:rPr>
          <w:rFonts w:ascii="Times New Roman" w:hAnsi="Times New Roman" w:cs="Times New Roman" w:hint="eastAsia"/>
          <w:sz w:val="24"/>
          <w:szCs w:val="24"/>
        </w:rPr>
        <w:t>vehicle</w:t>
      </w:r>
      <w:r w:rsidR="006C1406">
        <w:rPr>
          <w:rFonts w:ascii="Times New Roman" w:hAnsi="Times New Roman" w:cs="Times New Roman" w:hint="eastAsia"/>
          <w:sz w:val="24"/>
          <w:szCs w:val="24"/>
        </w:rPr>
        <w:t xml:space="preserve"> classification standards</w:t>
      </w:r>
      <w:r w:rsidRPr="00792AAA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1C7F98" w:rsidRPr="00792AAA">
        <w:rPr>
          <w:rFonts w:ascii="Times New Roman" w:hAnsi="Times New Roman" w:cs="Times New Roman" w:hint="eastAsia"/>
          <w:sz w:val="24"/>
          <w:szCs w:val="24"/>
        </w:rPr>
        <w:t>development</w:t>
      </w:r>
      <w:r w:rsidR="006C1406">
        <w:rPr>
          <w:rFonts w:ascii="Times New Roman" w:hAnsi="Times New Roman" w:cs="Times New Roman" w:hint="eastAsia"/>
          <w:sz w:val="24"/>
          <w:szCs w:val="24"/>
        </w:rPr>
        <w:t xml:space="preserve"> type</w:t>
      </w:r>
      <w:r w:rsidRPr="00792AAA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1C7F98" w:rsidRPr="00792AAA">
        <w:rPr>
          <w:rFonts w:ascii="Times New Roman" w:hAnsi="Times New Roman" w:cs="Times New Roman" w:hint="eastAsia"/>
          <w:sz w:val="24"/>
          <w:szCs w:val="24"/>
        </w:rPr>
        <w:t>buy-lease</w:t>
      </w:r>
      <w:r w:rsidR="006C1406">
        <w:rPr>
          <w:rFonts w:ascii="Times New Roman" w:hAnsi="Times New Roman" w:cs="Times New Roman" w:hint="eastAsia"/>
          <w:sz w:val="24"/>
          <w:szCs w:val="24"/>
        </w:rPr>
        <w:t xml:space="preserve"> type</w:t>
      </w:r>
      <w:r w:rsidRPr="00792AAA">
        <w:rPr>
          <w:rFonts w:ascii="Times New Roman" w:hAnsi="Times New Roman" w:cs="Times New Roman" w:hint="eastAsia"/>
          <w:sz w:val="24"/>
          <w:szCs w:val="24"/>
        </w:rPr>
        <w:t>, PF loan</w:t>
      </w:r>
      <w:r w:rsidR="006C1406">
        <w:rPr>
          <w:rFonts w:ascii="Times New Roman" w:hAnsi="Times New Roman" w:cs="Times New Roman" w:hint="eastAsia"/>
          <w:sz w:val="24"/>
          <w:szCs w:val="24"/>
        </w:rPr>
        <w:t xml:space="preserve"> type</w:t>
      </w:r>
      <w:r w:rsidRPr="00792AAA">
        <w:rPr>
          <w:rFonts w:ascii="Times New Roman" w:hAnsi="Times New Roman" w:cs="Times New Roman" w:hint="eastAsia"/>
          <w:sz w:val="24"/>
          <w:szCs w:val="24"/>
        </w:rPr>
        <w:t>, REIT</w:t>
      </w:r>
      <w:r w:rsidR="006C1406">
        <w:rPr>
          <w:rFonts w:ascii="Times New Roman" w:hAnsi="Times New Roman" w:cs="Times New Roman" w:hint="eastAsia"/>
          <w:sz w:val="24"/>
          <w:szCs w:val="24"/>
        </w:rPr>
        <w:t>s type</w:t>
      </w:r>
      <w:r w:rsidR="00FC4235">
        <w:rPr>
          <w:rFonts w:ascii="Times New Roman" w:hAnsi="Times New Roman" w:cs="Times New Roman" w:hint="eastAsia"/>
          <w:sz w:val="24"/>
          <w:szCs w:val="24"/>
        </w:rPr>
        <w:t>, etc.</w:t>
      </w:r>
      <w:r w:rsidRPr="00792AAA">
        <w:rPr>
          <w:rFonts w:ascii="Times New Roman" w:hAnsi="Times New Roman" w:cs="Times New Roman" w:hint="eastAsia"/>
          <w:sz w:val="24"/>
          <w:szCs w:val="24"/>
        </w:rPr>
        <w:t>)</w:t>
      </w:r>
    </w:p>
    <w:p w:rsidR="00645764" w:rsidRDefault="00645764" w:rsidP="00645764">
      <w:pPr>
        <w:ind w:left="760"/>
        <w:jc w:val="left"/>
        <w:rPr>
          <w:rFonts w:ascii="Times New Roman" w:hAnsi="Times New Roman" w:cs="Times New Roman"/>
          <w:sz w:val="24"/>
          <w:szCs w:val="24"/>
        </w:rPr>
      </w:pPr>
    </w:p>
    <w:p w:rsidR="003908DC" w:rsidRDefault="00645764" w:rsidP="00510594">
      <w:pPr>
        <w:pStyle w:val="a3"/>
        <w:numPr>
          <w:ilvl w:val="0"/>
          <w:numId w:val="1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Meanwhile, the AUM of </w:t>
      </w:r>
      <w:r w:rsidR="006C1406">
        <w:rPr>
          <w:rFonts w:ascii="Times New Roman" w:hAnsi="Times New Roman" w:cs="Times New Roman" w:hint="eastAsia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sz w:val="24"/>
          <w:szCs w:val="24"/>
        </w:rPr>
        <w:t>PF loan type decreased</w:t>
      </w:r>
      <w:r w:rsidR="00FC4235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while</w:t>
      </w:r>
      <w:r w:rsidR="006C1406">
        <w:rPr>
          <w:rFonts w:ascii="Times New Roman" w:hAnsi="Times New Roman" w:cs="Times New Roman" w:hint="eastAsia"/>
          <w:sz w:val="24"/>
          <w:szCs w:val="24"/>
        </w:rPr>
        <w:t xml:space="preserve"> the</w:t>
      </w:r>
      <w:r>
        <w:rPr>
          <w:rFonts w:ascii="Times New Roman" w:hAnsi="Times New Roman" w:cs="Times New Roman" w:hint="eastAsia"/>
          <w:sz w:val="24"/>
          <w:szCs w:val="24"/>
        </w:rPr>
        <w:t xml:space="preserve"> development and REIT</w:t>
      </w:r>
      <w:r w:rsidR="006C1406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type</w:t>
      </w:r>
      <w:r w:rsidR="00FC4235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942E7">
        <w:rPr>
          <w:rFonts w:ascii="Times New Roman" w:hAnsi="Times New Roman" w:cs="Times New Roman" w:hint="eastAsia"/>
          <w:sz w:val="24"/>
          <w:szCs w:val="24"/>
        </w:rPr>
        <w:t>gained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904CF">
        <w:rPr>
          <w:rFonts w:ascii="Times New Roman" w:hAnsi="Times New Roman" w:cs="Times New Roman" w:hint="eastAsia"/>
          <w:sz w:val="24"/>
          <w:szCs w:val="24"/>
        </w:rPr>
        <w:t xml:space="preserve">only </w:t>
      </w:r>
      <w:r>
        <w:rPr>
          <w:rFonts w:ascii="Times New Roman" w:hAnsi="Times New Roman" w:cs="Times New Roman" w:hint="eastAsia"/>
          <w:sz w:val="24"/>
          <w:szCs w:val="24"/>
        </w:rPr>
        <w:t xml:space="preserve">slightly, showing a trend of </w:t>
      </w:r>
      <w:r w:rsidR="00FC4235">
        <w:rPr>
          <w:rFonts w:ascii="Times New Roman" w:hAnsi="Times New Roman" w:cs="Times New Roman" w:hint="eastAsia"/>
          <w:sz w:val="24"/>
          <w:szCs w:val="24"/>
        </w:rPr>
        <w:t xml:space="preserve">investment </w:t>
      </w:r>
      <w:r>
        <w:rPr>
          <w:rFonts w:ascii="Times New Roman" w:hAnsi="Times New Roman" w:cs="Times New Roman" w:hint="eastAsia"/>
          <w:sz w:val="24"/>
          <w:szCs w:val="24"/>
        </w:rPr>
        <w:t xml:space="preserve">concentration </w:t>
      </w:r>
      <w:r w:rsidR="00E942E7"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n buy-lease type real estate funds. </w:t>
      </w:r>
      <w:r w:rsidRPr="00645764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AD6A73" w:rsidRDefault="00AD6A73" w:rsidP="002707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7E2" w:rsidRPr="002707E2" w:rsidRDefault="002707E2" w:rsidP="00270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7E2">
        <w:rPr>
          <w:rFonts w:ascii="Times New Roman" w:hAnsi="Times New Roman" w:cs="Times New Roman" w:hint="eastAsia"/>
          <w:b/>
          <w:sz w:val="24"/>
          <w:szCs w:val="24"/>
        </w:rPr>
        <w:t>&lt;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AUM and Proportion </w:t>
      </w:r>
      <w:r w:rsidR="00AD6A73">
        <w:rPr>
          <w:rFonts w:ascii="Times New Roman" w:hAnsi="Times New Roman" w:cs="Times New Roman" w:hint="eastAsia"/>
          <w:b/>
          <w:sz w:val="24"/>
          <w:szCs w:val="24"/>
        </w:rPr>
        <w:t>by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Real Estate </w:t>
      </w:r>
      <w:r w:rsidR="00FC4235">
        <w:rPr>
          <w:rFonts w:ascii="Times New Roman" w:hAnsi="Times New Roman" w:cs="Times New Roman" w:hint="eastAsia"/>
          <w:b/>
          <w:sz w:val="24"/>
          <w:szCs w:val="24"/>
        </w:rPr>
        <w:t xml:space="preserve">Fund </w:t>
      </w:r>
      <w:r>
        <w:rPr>
          <w:rFonts w:ascii="Times New Roman" w:hAnsi="Times New Roman" w:cs="Times New Roman" w:hint="eastAsia"/>
          <w:b/>
          <w:sz w:val="24"/>
          <w:szCs w:val="24"/>
        </w:rPr>
        <w:t>Type</w:t>
      </w:r>
      <w:r w:rsidRPr="002707E2">
        <w:rPr>
          <w:rFonts w:ascii="Times New Roman" w:hAnsi="Times New Roman" w:cs="Times New Roman" w:hint="eastAsia"/>
          <w:b/>
          <w:sz w:val="24"/>
          <w:szCs w:val="24"/>
        </w:rPr>
        <w:t>&gt;</w:t>
      </w:r>
    </w:p>
    <w:p w:rsidR="00AD6A73" w:rsidRPr="00C61204" w:rsidRDefault="00BE14EE" w:rsidP="004C7C88">
      <w:pPr>
        <w:ind w:left="4536"/>
        <w:jc w:val="left"/>
        <w:rPr>
          <w:rFonts w:ascii="Times New Roman" w:hAnsi="Times New Roman" w:cs="Times New Roman"/>
          <w:sz w:val="16"/>
          <w:szCs w:val="16"/>
        </w:rPr>
      </w:pPr>
      <w:r w:rsidRPr="00BE14EE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94.65pt;margin-top:45.85pt;width:42.1pt;height:33.2pt;z-index:251682816;mso-width-relative:margin;mso-height-relative:margin" o:regroupid="2" stroked="f" strokeweight="0">
            <v:fill opacity="0"/>
            <v:textbox style="mso-next-textbox:#_x0000_s1036">
              <w:txbxContent>
                <w:p w:rsidR="002707E2" w:rsidRDefault="002707E2" w:rsidP="002707E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REITs</w:t>
                  </w:r>
                </w:p>
                <w:p w:rsidR="002707E2" w:rsidRPr="00A81FC4" w:rsidRDefault="002707E2" w:rsidP="002707E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3%</w:t>
                  </w:r>
                </w:p>
              </w:txbxContent>
            </v:textbox>
          </v:shape>
        </w:pict>
      </w:r>
      <w:r w:rsidRPr="00BE14EE"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202" style="position:absolute;left:0;text-align:left;margin-left:232pt;margin-top:191.7pt;width:43.9pt;height:19.6pt;z-index:251689984;mso-width-relative:margin;mso-height-relative:margin" o:regroupid="3" stroked="f" strokeweight="0">
            <v:textbox style="mso-next-textbox:#_x0000_s1056">
              <w:txbxContent>
                <w:p w:rsidR="00194DD9" w:rsidRPr="00194DD9" w:rsidRDefault="00194DD9" w:rsidP="00194DD9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94DD9">
                    <w:rPr>
                      <w:rFonts w:ascii="Arial" w:hAnsi="Arial" w:cs="Arial"/>
                      <w:sz w:val="12"/>
                      <w:szCs w:val="12"/>
                    </w:rPr>
                    <w:t>End of</w:t>
                  </w:r>
                  <w:r w:rsidRPr="00194DD9">
                    <w:rPr>
                      <w:rFonts w:ascii="Arial" w:hAnsi="Arial" w:cs="Arial" w:hint="eastAsia"/>
                      <w:sz w:val="12"/>
                      <w:szCs w:val="12"/>
                    </w:rPr>
                    <w:t xml:space="preserve"> </w:t>
                  </w:r>
                </w:p>
                <w:p w:rsidR="00194DD9" w:rsidRPr="00194DD9" w:rsidRDefault="00194DD9" w:rsidP="00194DD9">
                  <w:pPr>
                    <w:rPr>
                      <w:sz w:val="12"/>
                      <w:szCs w:val="12"/>
                    </w:rPr>
                  </w:pPr>
                  <w:r w:rsidRPr="00194DD9">
                    <w:rPr>
                      <w:rFonts w:ascii="Arial" w:hAnsi="Arial" w:cs="Arial" w:hint="eastAsia"/>
                      <w:sz w:val="12"/>
                      <w:szCs w:val="12"/>
                    </w:rPr>
                    <w:t>Apr.</w:t>
                  </w:r>
                  <w:r w:rsidRPr="00194DD9">
                    <w:rPr>
                      <w:rFonts w:ascii="Arial" w:hAnsi="Arial" w:cs="Arial"/>
                      <w:sz w:val="12"/>
                      <w:szCs w:val="12"/>
                    </w:rPr>
                    <w:t>’</w:t>
                  </w:r>
                  <w:r w:rsidRPr="00194DD9">
                    <w:rPr>
                      <w:rFonts w:ascii="Arial" w:hAnsi="Arial" w:cs="Arial" w:hint="eastAsia"/>
                      <w:sz w:val="12"/>
                      <w:szCs w:val="12"/>
                    </w:rPr>
                    <w:t>13</w:t>
                  </w:r>
                </w:p>
              </w:txbxContent>
            </v:textbox>
          </v:shape>
        </w:pict>
      </w:r>
      <w:r w:rsidRPr="00BE14EE"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202" style="position:absolute;left:0;text-align:left;margin-left:195.55pt;margin-top:193.9pt;width:52.95pt;height:17.4pt;z-index:251688960;mso-width-relative:margin;mso-height-relative:margin" o:regroupid="3" stroked="f" strokeweight="0">
            <v:textbox style="mso-next-textbox:#_x0000_s1055">
              <w:txbxContent>
                <w:p w:rsidR="00194DD9" w:rsidRPr="00194DD9" w:rsidRDefault="00194DD9" w:rsidP="00194DD9">
                  <w:pPr>
                    <w:rPr>
                      <w:sz w:val="12"/>
                      <w:szCs w:val="12"/>
                    </w:rPr>
                  </w:pPr>
                  <w:r w:rsidRPr="00194DD9">
                    <w:rPr>
                      <w:rFonts w:ascii="Arial" w:hAnsi="Arial" w:cs="Arial"/>
                      <w:sz w:val="12"/>
                      <w:szCs w:val="12"/>
                    </w:rPr>
                    <w:t>End of</w:t>
                  </w:r>
                  <w:r w:rsidRPr="00194DD9">
                    <w:rPr>
                      <w:rFonts w:ascii="Arial" w:hAnsi="Arial" w:cs="Arial" w:hint="eastAsia"/>
                      <w:sz w:val="12"/>
                      <w:szCs w:val="12"/>
                    </w:rPr>
                    <w:t xml:space="preserve"> </w:t>
                  </w:r>
                  <w:r w:rsidRPr="00194DD9">
                    <w:rPr>
                      <w:rFonts w:ascii="Arial" w:hAnsi="Arial" w:cs="Arial"/>
                      <w:sz w:val="12"/>
                      <w:szCs w:val="12"/>
                    </w:rPr>
                    <w:t>‘</w:t>
                  </w:r>
                  <w:r w:rsidRPr="00194DD9">
                    <w:rPr>
                      <w:rFonts w:ascii="Arial" w:hAnsi="Arial" w:cs="Arial" w:hint="eastAsia"/>
                      <w:sz w:val="12"/>
                      <w:szCs w:val="12"/>
                    </w:rPr>
                    <w:t>12</w:t>
                  </w:r>
                </w:p>
              </w:txbxContent>
            </v:textbox>
          </v:shape>
        </w:pict>
      </w:r>
      <w:r w:rsidRPr="00BE14EE"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202" style="position:absolute;left:0;text-align:left;margin-left:144.3pt;margin-top:193.9pt;width:52.95pt;height:17.4pt;z-index:251687936;mso-width-relative:margin;mso-height-relative:margin" o:regroupid="3" stroked="f" strokeweight="0">
            <v:textbox style="mso-next-textbox:#_x0000_s1054">
              <w:txbxContent>
                <w:p w:rsidR="00194DD9" w:rsidRPr="00194DD9" w:rsidRDefault="00194DD9" w:rsidP="00194DD9">
                  <w:pPr>
                    <w:rPr>
                      <w:sz w:val="12"/>
                      <w:szCs w:val="12"/>
                    </w:rPr>
                  </w:pPr>
                  <w:r w:rsidRPr="00194DD9">
                    <w:rPr>
                      <w:rFonts w:ascii="Arial" w:hAnsi="Arial" w:cs="Arial"/>
                      <w:sz w:val="12"/>
                      <w:szCs w:val="12"/>
                    </w:rPr>
                    <w:t>End of</w:t>
                  </w:r>
                  <w:r w:rsidRPr="00194DD9">
                    <w:rPr>
                      <w:rFonts w:ascii="Arial" w:hAnsi="Arial" w:cs="Arial" w:hint="eastAsia"/>
                      <w:sz w:val="12"/>
                      <w:szCs w:val="12"/>
                    </w:rPr>
                    <w:t xml:space="preserve"> </w:t>
                  </w:r>
                  <w:r w:rsidRPr="00194DD9">
                    <w:rPr>
                      <w:rFonts w:ascii="Arial" w:hAnsi="Arial" w:cs="Arial"/>
                      <w:sz w:val="12"/>
                      <w:szCs w:val="12"/>
                    </w:rPr>
                    <w:t>‘</w:t>
                  </w:r>
                  <w:r w:rsidRPr="00194DD9">
                    <w:rPr>
                      <w:rFonts w:ascii="Arial" w:hAnsi="Arial" w:cs="Arial" w:hint="eastAsia"/>
                      <w:sz w:val="12"/>
                      <w:szCs w:val="12"/>
                    </w:rPr>
                    <w:t>11</w:t>
                  </w:r>
                </w:p>
              </w:txbxContent>
            </v:textbox>
          </v:shape>
        </w:pict>
      </w:r>
      <w:r w:rsidRPr="00BE14EE"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202" style="position:absolute;left:0;text-align:left;margin-left:34.8pt;margin-top:193.3pt;width:52.95pt;height:17.4pt;z-index:251685888;mso-width-relative:margin;mso-height-relative:margin" o:regroupid="3" stroked="f" strokeweight="0">
            <v:textbox style="mso-next-textbox:#_x0000_s1049">
              <w:txbxContent>
                <w:p w:rsidR="004157FD" w:rsidRPr="00194DD9" w:rsidRDefault="004157FD" w:rsidP="004157FD">
                  <w:pPr>
                    <w:rPr>
                      <w:sz w:val="12"/>
                      <w:szCs w:val="12"/>
                    </w:rPr>
                  </w:pPr>
                  <w:r w:rsidRPr="00194DD9">
                    <w:rPr>
                      <w:rFonts w:ascii="Arial" w:hAnsi="Arial" w:cs="Arial"/>
                      <w:sz w:val="12"/>
                      <w:szCs w:val="12"/>
                    </w:rPr>
                    <w:t>End of</w:t>
                  </w:r>
                  <w:r w:rsidR="00194DD9" w:rsidRPr="00194DD9">
                    <w:rPr>
                      <w:rFonts w:ascii="Arial" w:hAnsi="Arial" w:cs="Arial" w:hint="eastAsia"/>
                      <w:sz w:val="12"/>
                      <w:szCs w:val="12"/>
                    </w:rPr>
                    <w:t xml:space="preserve"> </w:t>
                  </w:r>
                  <w:r w:rsidR="00194DD9" w:rsidRPr="00194DD9">
                    <w:rPr>
                      <w:rFonts w:ascii="Arial" w:hAnsi="Arial" w:cs="Arial"/>
                      <w:sz w:val="12"/>
                      <w:szCs w:val="12"/>
                    </w:rPr>
                    <w:t>‘</w:t>
                  </w:r>
                  <w:r w:rsidR="00194DD9" w:rsidRPr="00194DD9">
                    <w:rPr>
                      <w:rFonts w:ascii="Arial" w:hAnsi="Arial" w:cs="Arial" w:hint="eastAsia"/>
                      <w:sz w:val="12"/>
                      <w:szCs w:val="12"/>
                    </w:rPr>
                    <w:t>09</w:t>
                  </w:r>
                </w:p>
              </w:txbxContent>
            </v:textbox>
          </v:shape>
        </w:pict>
      </w:r>
      <w:r w:rsidRPr="00BE14EE"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202" style="position:absolute;left:0;text-align:left;margin-left:92.4pt;margin-top:193.9pt;width:52.95pt;height:17.4pt;z-index:251686912;mso-width-relative:margin;mso-height-relative:margin" o:regroupid="3" stroked="f" strokeweight="0">
            <v:textbox style="mso-next-textbox:#_x0000_s1053">
              <w:txbxContent>
                <w:p w:rsidR="00194DD9" w:rsidRPr="00194DD9" w:rsidRDefault="00194DD9" w:rsidP="00194DD9">
                  <w:pPr>
                    <w:rPr>
                      <w:sz w:val="12"/>
                      <w:szCs w:val="12"/>
                    </w:rPr>
                  </w:pPr>
                  <w:r w:rsidRPr="00194DD9">
                    <w:rPr>
                      <w:rFonts w:ascii="Arial" w:hAnsi="Arial" w:cs="Arial"/>
                      <w:sz w:val="12"/>
                      <w:szCs w:val="12"/>
                    </w:rPr>
                    <w:t>End of</w:t>
                  </w:r>
                  <w:r w:rsidRPr="00194DD9">
                    <w:rPr>
                      <w:rFonts w:ascii="Arial" w:hAnsi="Arial" w:cs="Arial" w:hint="eastAsia"/>
                      <w:sz w:val="12"/>
                      <w:szCs w:val="12"/>
                    </w:rPr>
                    <w:t xml:space="preserve"> </w:t>
                  </w:r>
                  <w:r w:rsidRPr="00194DD9">
                    <w:rPr>
                      <w:rFonts w:ascii="Arial" w:hAnsi="Arial" w:cs="Arial"/>
                      <w:sz w:val="12"/>
                      <w:szCs w:val="12"/>
                    </w:rPr>
                    <w:t>‘</w:t>
                  </w:r>
                  <w:r w:rsidRPr="00194DD9">
                    <w:rPr>
                      <w:rFonts w:ascii="Arial" w:hAnsi="Arial" w:cs="Arial" w:hint="eastAsia"/>
                      <w:sz w:val="12"/>
                      <w:szCs w:val="12"/>
                    </w:rPr>
                    <w:t>10</w:t>
                  </w:r>
                </w:p>
              </w:txbxContent>
            </v:textbox>
          </v:shape>
        </w:pict>
      </w:r>
      <w:r w:rsidR="00F5658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302260</wp:posOffset>
            </wp:positionV>
            <wp:extent cx="3423285" cy="2411095"/>
            <wp:effectExtent l="19050" t="0" r="5715" b="0"/>
            <wp:wrapTight wrapText="bothSides">
              <wp:wrapPolygon edited="0">
                <wp:start x="-120" y="0"/>
                <wp:lineTo x="-120" y="21503"/>
                <wp:lineTo x="21636" y="21503"/>
                <wp:lineTo x="21636" y="0"/>
                <wp:lineTo x="-120" y="0"/>
              </wp:wrapPolygon>
            </wp:wrapTight>
            <wp:docPr id="16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14EE"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left:0;text-align:left;margin-left:348.9pt;margin-top:28.8pt;width:68.15pt;height:33.2pt;z-index:251684864;mso-position-horizontal-relative:text;mso-position-vertical-relative:text;mso-width-relative:margin;mso-height-relative:margin" o:regroupid="2" stroked="f" strokeweight="0">
            <v:fill opacity="0"/>
            <v:textbox style="mso-next-textbox:#_x0000_s1038">
              <w:txbxContent>
                <w:p w:rsidR="002707E2" w:rsidRDefault="002707E2" w:rsidP="002707E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Development</w:t>
                  </w:r>
                </w:p>
                <w:p w:rsidR="002707E2" w:rsidRPr="00A81FC4" w:rsidRDefault="002707E2" w:rsidP="002707E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6%</w:t>
                  </w:r>
                </w:p>
              </w:txbxContent>
            </v:textbox>
          </v:shape>
        </w:pict>
      </w:r>
      <w:r w:rsidRPr="00BE14EE"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left:0;text-align:left;margin-left:326.6pt;margin-top:50.05pt;width:55.3pt;height:33.2pt;z-index:251683840;mso-position-horizontal-relative:text;mso-position-vertical-relative:text;mso-width-relative:margin;mso-height-relative:margin" o:regroupid="2" stroked="f" strokeweight="0">
            <v:fill opacity="0"/>
            <v:textbox style="mso-next-textbox:#_x0000_s1037">
              <w:txbxContent>
                <w:p w:rsidR="002707E2" w:rsidRDefault="002707E2" w:rsidP="002707E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Others</w:t>
                  </w:r>
                </w:p>
                <w:p w:rsidR="002707E2" w:rsidRPr="00A81FC4" w:rsidRDefault="002707E2" w:rsidP="002707E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14%</w:t>
                  </w:r>
                </w:p>
              </w:txbxContent>
            </v:textbox>
          </v:shape>
        </w:pict>
      </w:r>
      <w:r w:rsidRPr="00BE14EE"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left:0;text-align:left;margin-left:361.5pt;margin-top:113.5pt;width:55.3pt;height:33.2pt;z-index:251681792;mso-position-horizontal-relative:text;mso-position-vertical-relative:text;mso-width-relative:margin;mso-height-relative:margin" o:regroupid="2" stroked="f" strokeweight="0">
            <v:fill opacity="0"/>
            <v:textbox style="mso-next-textbox:#_x0000_s1035">
              <w:txbxContent>
                <w:p w:rsidR="002707E2" w:rsidRDefault="002707E2" w:rsidP="002707E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Buy-lease</w:t>
                  </w:r>
                </w:p>
                <w:p w:rsidR="002707E2" w:rsidRPr="00A81FC4" w:rsidRDefault="002707E2" w:rsidP="002707E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56%</w:t>
                  </w:r>
                </w:p>
              </w:txbxContent>
            </v:textbox>
          </v:shape>
        </w:pict>
      </w:r>
      <w:r w:rsidRPr="00BE14EE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left:0;text-align:left;margin-left:303.45pt;margin-top:103.6pt;width:55.3pt;height:33.2pt;z-index:251680768;mso-position-horizontal-relative:text;mso-position-vertical-relative:text;mso-width-relative:margin;mso-height-relative:margin" o:regroupid="2" stroked="f" strokeweight="0">
            <v:fill opacity="0"/>
            <v:textbox style="mso-next-textbox:#_x0000_s1034">
              <w:txbxContent>
                <w:p w:rsidR="002707E2" w:rsidRDefault="002707E2" w:rsidP="002707E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PF (loan)</w:t>
                  </w:r>
                </w:p>
                <w:p w:rsidR="002707E2" w:rsidRPr="00A81FC4" w:rsidRDefault="002707E2" w:rsidP="002707E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21%</w:t>
                  </w:r>
                </w:p>
              </w:txbxContent>
            </v:textbox>
          </v:shape>
        </w:pict>
      </w:r>
      <w:r w:rsidR="00194DD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3771265</wp:posOffset>
            </wp:positionH>
            <wp:positionV relativeFrom="paragraph">
              <wp:posOffset>339090</wp:posOffset>
            </wp:positionV>
            <wp:extent cx="1875155" cy="2047875"/>
            <wp:effectExtent l="19050" t="0" r="0" b="0"/>
            <wp:wrapTight wrapText="bothSides">
              <wp:wrapPolygon edited="0">
                <wp:start x="-219" y="0"/>
                <wp:lineTo x="-219" y="21500"/>
                <wp:lineTo x="21505" y="21500"/>
                <wp:lineTo x="21505" y="0"/>
                <wp:lineTo x="-219" y="0"/>
              </wp:wrapPolygon>
            </wp:wrapTight>
            <wp:docPr id="18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14EE">
        <w:rPr>
          <w:rFonts w:ascii="Times New Roman" w:hAnsi="Times New Roman" w:cs="Times New Roman"/>
          <w:noProof/>
          <w:sz w:val="24"/>
          <w:szCs w:val="24"/>
        </w:rPr>
        <w:pict>
          <v:group id="_x0000_s1033" style="position:absolute;left:0;text-align:left;margin-left:-347.9pt;margin-top:205.5pt;width:281.55pt;height:19.8pt;z-index:251672576;mso-position-horizontal-relative:text;mso-position-vertical-relative:text" coordorigin="1049,7972" coordsize="5631,396">
            <v:shape id="_x0000_s1029" type="#_x0000_t202" style="position:absolute;left:1049;top:7972;width:1051;height:396;mso-width-relative:margin;mso-height-relative:margin" stroked="f" strokeweight="0">
              <v:textbox style="mso-next-textbox:#_x0000_s1029">
                <w:txbxContent>
                  <w:p w:rsidR="00A81FC4" w:rsidRPr="00A81FC4" w:rsidRDefault="00A81FC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End of </w:t>
                    </w:r>
                    <w:r>
                      <w:rPr>
                        <w:sz w:val="16"/>
                        <w:szCs w:val="16"/>
                      </w:rPr>
                      <w:t>‘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09</w:t>
                    </w:r>
                  </w:p>
                </w:txbxContent>
              </v:textbox>
            </v:shape>
            <v:shape id="_x0000_s1030" type="#_x0000_t202" style="position:absolute;left:2495;top:7972;width:1051;height:396;mso-width-relative:margin;mso-height-relative:margin" stroked="f" strokeweight="0">
              <v:textbox style="mso-next-textbox:#_x0000_s1030">
                <w:txbxContent>
                  <w:p w:rsidR="002707E2" w:rsidRPr="00A81FC4" w:rsidRDefault="002707E2" w:rsidP="002707E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End of </w:t>
                    </w:r>
                    <w:r>
                      <w:rPr>
                        <w:sz w:val="16"/>
                        <w:szCs w:val="16"/>
                      </w:rPr>
                      <w:t>‘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</v:shape>
            <v:shape id="_x0000_s1031" type="#_x0000_t202" style="position:absolute;left:4055;top:7972;width:1051;height:396;mso-width-relative:margin;mso-height-relative:margin" stroked="f" strokeweight="0">
              <v:textbox style="mso-next-textbox:#_x0000_s1031">
                <w:txbxContent>
                  <w:p w:rsidR="002707E2" w:rsidRPr="00A81FC4" w:rsidRDefault="002707E2" w:rsidP="002707E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End of </w:t>
                    </w:r>
                    <w:r>
                      <w:rPr>
                        <w:sz w:val="16"/>
                        <w:szCs w:val="16"/>
                      </w:rPr>
                      <w:t>‘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11</w:t>
                    </w:r>
                  </w:p>
                </w:txbxContent>
              </v:textbox>
            </v:shape>
            <v:shape id="_x0000_s1032" type="#_x0000_t202" style="position:absolute;left:5629;top:7972;width:1051;height:396;mso-width-relative:margin;mso-height-relative:margin" stroked="f" strokeweight="0">
              <v:textbox style="mso-next-textbox:#_x0000_s1032">
                <w:txbxContent>
                  <w:p w:rsidR="002707E2" w:rsidRPr="00A81FC4" w:rsidRDefault="002707E2" w:rsidP="002707E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End of </w:t>
                    </w:r>
                    <w:r>
                      <w:rPr>
                        <w:sz w:val="16"/>
                        <w:szCs w:val="16"/>
                      </w:rPr>
                      <w:t>‘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12</w:t>
                    </w:r>
                  </w:p>
                </w:txbxContent>
              </v:textbox>
            </v:shape>
          </v:group>
        </w:pict>
      </w:r>
      <w:r w:rsidR="00A81FC4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194DD9">
        <w:rPr>
          <w:rFonts w:ascii="Times New Roman" w:hAnsi="Times New Roman" w:cs="Times New Roman" w:hint="eastAsia"/>
          <w:sz w:val="16"/>
          <w:szCs w:val="16"/>
        </w:rPr>
        <w:t>(Unit: KRW</w:t>
      </w:r>
      <w:r w:rsidR="004C7C88">
        <w:rPr>
          <w:rFonts w:ascii="Times New Roman" w:hAnsi="Times New Roman" w:cs="Times New Roman" w:hint="eastAsia"/>
          <w:sz w:val="16"/>
          <w:szCs w:val="16"/>
        </w:rPr>
        <w:t xml:space="preserve"> 10bn</w:t>
      </w:r>
      <w:r w:rsidR="00194DD9">
        <w:rPr>
          <w:rFonts w:ascii="Times New Roman" w:hAnsi="Times New Roman" w:cs="Times New Roman" w:hint="eastAsia"/>
          <w:sz w:val="16"/>
          <w:szCs w:val="16"/>
        </w:rPr>
        <w:t>)</w:t>
      </w:r>
      <w:r w:rsidR="00194DD9">
        <w:rPr>
          <w:rFonts w:ascii="Times New Roman" w:hAnsi="Times New Roman" w:cs="Times New Roman" w:hint="eastAsia"/>
          <w:sz w:val="16"/>
          <w:szCs w:val="16"/>
        </w:rPr>
        <w:tab/>
      </w:r>
      <w:r w:rsidR="00194DD9">
        <w:rPr>
          <w:rFonts w:ascii="Times New Roman" w:hAnsi="Times New Roman" w:cs="Times New Roman" w:hint="eastAsia"/>
          <w:sz w:val="16"/>
          <w:szCs w:val="16"/>
        </w:rPr>
        <w:tab/>
        <w:t>(As of end-April, 2013)</w:t>
      </w:r>
    </w:p>
    <w:sectPr w:rsidR="00AD6A73" w:rsidRPr="00C61204" w:rsidSect="002C7B2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093" w:rsidRDefault="00DE1093" w:rsidP="00641F44">
      <w:r>
        <w:separator/>
      </w:r>
    </w:p>
  </w:endnote>
  <w:endnote w:type="continuationSeparator" w:id="0">
    <w:p w:rsidR="00DE1093" w:rsidRDefault="00DE1093" w:rsidP="00641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093" w:rsidRDefault="00DE1093" w:rsidP="00641F44">
      <w:r>
        <w:separator/>
      </w:r>
    </w:p>
  </w:footnote>
  <w:footnote w:type="continuationSeparator" w:id="0">
    <w:p w:rsidR="00DE1093" w:rsidRDefault="00DE1093" w:rsidP="00641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F5D"/>
    <w:multiLevelType w:val="hybridMultilevel"/>
    <w:tmpl w:val="770EE0E4"/>
    <w:lvl w:ilvl="0" w:tplc="A51A5C68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73A78F5"/>
    <w:multiLevelType w:val="hybridMultilevel"/>
    <w:tmpl w:val="829CFDEE"/>
    <w:lvl w:ilvl="0" w:tplc="0C020EB4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17A28A1"/>
    <w:multiLevelType w:val="hybridMultilevel"/>
    <w:tmpl w:val="EB92E538"/>
    <w:lvl w:ilvl="0" w:tplc="8CF62C54">
      <w:start w:val="5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>
    <w:nsid w:val="139603E8"/>
    <w:multiLevelType w:val="hybridMultilevel"/>
    <w:tmpl w:val="1376D9B6"/>
    <w:lvl w:ilvl="0" w:tplc="DA36EF5A">
      <w:start w:val="2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>
    <w:nsid w:val="177468AC"/>
    <w:multiLevelType w:val="hybridMultilevel"/>
    <w:tmpl w:val="47F01658"/>
    <w:lvl w:ilvl="0" w:tplc="BAACDBF0">
      <w:start w:val="5"/>
      <w:numFmt w:val="bullet"/>
      <w:lvlText w:val="-"/>
      <w:lvlJc w:val="left"/>
      <w:pPr>
        <w:ind w:left="118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5">
    <w:nsid w:val="19F73C08"/>
    <w:multiLevelType w:val="hybridMultilevel"/>
    <w:tmpl w:val="B8088ADA"/>
    <w:lvl w:ilvl="0" w:tplc="E9668848">
      <w:start w:val="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BA360F1"/>
    <w:multiLevelType w:val="hybridMultilevel"/>
    <w:tmpl w:val="9A844D06"/>
    <w:lvl w:ilvl="0" w:tplc="ECD09F80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625" w:hanging="400"/>
      </w:pPr>
    </w:lvl>
    <w:lvl w:ilvl="2" w:tplc="0409001B" w:tentative="1">
      <w:start w:val="1"/>
      <w:numFmt w:val="lowerRoman"/>
      <w:lvlText w:val="%3."/>
      <w:lvlJc w:val="right"/>
      <w:pPr>
        <w:ind w:left="2025" w:hanging="400"/>
      </w:pPr>
    </w:lvl>
    <w:lvl w:ilvl="3" w:tplc="0409000F" w:tentative="1">
      <w:start w:val="1"/>
      <w:numFmt w:val="decimal"/>
      <w:lvlText w:val="%4."/>
      <w:lvlJc w:val="left"/>
      <w:pPr>
        <w:ind w:left="2425" w:hanging="400"/>
      </w:pPr>
    </w:lvl>
    <w:lvl w:ilvl="4" w:tplc="04090019" w:tentative="1">
      <w:start w:val="1"/>
      <w:numFmt w:val="upperLetter"/>
      <w:lvlText w:val="%5."/>
      <w:lvlJc w:val="left"/>
      <w:pPr>
        <w:ind w:left="2825" w:hanging="400"/>
      </w:pPr>
    </w:lvl>
    <w:lvl w:ilvl="5" w:tplc="0409001B" w:tentative="1">
      <w:start w:val="1"/>
      <w:numFmt w:val="lowerRoman"/>
      <w:lvlText w:val="%6."/>
      <w:lvlJc w:val="right"/>
      <w:pPr>
        <w:ind w:left="3225" w:hanging="400"/>
      </w:pPr>
    </w:lvl>
    <w:lvl w:ilvl="6" w:tplc="0409000F" w:tentative="1">
      <w:start w:val="1"/>
      <w:numFmt w:val="decimal"/>
      <w:lvlText w:val="%7."/>
      <w:lvlJc w:val="left"/>
      <w:pPr>
        <w:ind w:left="3625" w:hanging="400"/>
      </w:pPr>
    </w:lvl>
    <w:lvl w:ilvl="7" w:tplc="04090019" w:tentative="1">
      <w:start w:val="1"/>
      <w:numFmt w:val="upperLetter"/>
      <w:lvlText w:val="%8."/>
      <w:lvlJc w:val="left"/>
      <w:pPr>
        <w:ind w:left="4025" w:hanging="400"/>
      </w:pPr>
    </w:lvl>
    <w:lvl w:ilvl="8" w:tplc="0409001B" w:tentative="1">
      <w:start w:val="1"/>
      <w:numFmt w:val="lowerRoman"/>
      <w:lvlText w:val="%9."/>
      <w:lvlJc w:val="right"/>
      <w:pPr>
        <w:ind w:left="4425" w:hanging="400"/>
      </w:pPr>
    </w:lvl>
  </w:abstractNum>
  <w:abstractNum w:abstractNumId="7">
    <w:nsid w:val="1DBB3EA6"/>
    <w:multiLevelType w:val="hybridMultilevel"/>
    <w:tmpl w:val="A6A0F75E"/>
    <w:lvl w:ilvl="0" w:tplc="246EE228">
      <w:numFmt w:val="bullet"/>
      <w:lvlText w:val="-"/>
      <w:lvlJc w:val="left"/>
      <w:pPr>
        <w:ind w:left="118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8">
    <w:nsid w:val="1E3A5755"/>
    <w:multiLevelType w:val="hybridMultilevel"/>
    <w:tmpl w:val="338A9620"/>
    <w:lvl w:ilvl="0" w:tplc="24A09226">
      <w:start w:val="2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>
    <w:nsid w:val="1E98548F"/>
    <w:multiLevelType w:val="hybridMultilevel"/>
    <w:tmpl w:val="03A88644"/>
    <w:lvl w:ilvl="0" w:tplc="0F266188">
      <w:start w:val="2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0">
    <w:nsid w:val="273C707F"/>
    <w:multiLevelType w:val="hybridMultilevel"/>
    <w:tmpl w:val="0CE64120"/>
    <w:lvl w:ilvl="0" w:tplc="51B4F45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5" w:hanging="400"/>
      </w:pPr>
    </w:lvl>
    <w:lvl w:ilvl="2" w:tplc="0409001B" w:tentative="1">
      <w:start w:val="1"/>
      <w:numFmt w:val="lowerRoman"/>
      <w:lvlText w:val="%3."/>
      <w:lvlJc w:val="right"/>
      <w:pPr>
        <w:ind w:left="1545" w:hanging="400"/>
      </w:pPr>
    </w:lvl>
    <w:lvl w:ilvl="3" w:tplc="0409000F" w:tentative="1">
      <w:start w:val="1"/>
      <w:numFmt w:val="decimal"/>
      <w:lvlText w:val="%4."/>
      <w:lvlJc w:val="left"/>
      <w:pPr>
        <w:ind w:left="1945" w:hanging="400"/>
      </w:pPr>
    </w:lvl>
    <w:lvl w:ilvl="4" w:tplc="04090019" w:tentative="1">
      <w:start w:val="1"/>
      <w:numFmt w:val="upperLetter"/>
      <w:lvlText w:val="%5."/>
      <w:lvlJc w:val="left"/>
      <w:pPr>
        <w:ind w:left="2345" w:hanging="400"/>
      </w:pPr>
    </w:lvl>
    <w:lvl w:ilvl="5" w:tplc="0409001B" w:tentative="1">
      <w:start w:val="1"/>
      <w:numFmt w:val="lowerRoman"/>
      <w:lvlText w:val="%6."/>
      <w:lvlJc w:val="right"/>
      <w:pPr>
        <w:ind w:left="2745" w:hanging="400"/>
      </w:pPr>
    </w:lvl>
    <w:lvl w:ilvl="6" w:tplc="0409000F" w:tentative="1">
      <w:start w:val="1"/>
      <w:numFmt w:val="decimal"/>
      <w:lvlText w:val="%7."/>
      <w:lvlJc w:val="left"/>
      <w:pPr>
        <w:ind w:left="3145" w:hanging="400"/>
      </w:pPr>
    </w:lvl>
    <w:lvl w:ilvl="7" w:tplc="04090019" w:tentative="1">
      <w:start w:val="1"/>
      <w:numFmt w:val="upperLetter"/>
      <w:lvlText w:val="%8."/>
      <w:lvlJc w:val="left"/>
      <w:pPr>
        <w:ind w:left="3545" w:hanging="400"/>
      </w:pPr>
    </w:lvl>
    <w:lvl w:ilvl="8" w:tplc="0409001B" w:tentative="1">
      <w:start w:val="1"/>
      <w:numFmt w:val="lowerRoman"/>
      <w:lvlText w:val="%9."/>
      <w:lvlJc w:val="right"/>
      <w:pPr>
        <w:ind w:left="3945" w:hanging="400"/>
      </w:pPr>
    </w:lvl>
  </w:abstractNum>
  <w:abstractNum w:abstractNumId="11">
    <w:nsid w:val="34DC1253"/>
    <w:multiLevelType w:val="hybridMultilevel"/>
    <w:tmpl w:val="A4F02DDC"/>
    <w:lvl w:ilvl="0" w:tplc="1D025D4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B740455"/>
    <w:multiLevelType w:val="hybridMultilevel"/>
    <w:tmpl w:val="11C62E7A"/>
    <w:lvl w:ilvl="0" w:tplc="171CF6B4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3D8D0FA7"/>
    <w:multiLevelType w:val="hybridMultilevel"/>
    <w:tmpl w:val="DF229F96"/>
    <w:lvl w:ilvl="0" w:tplc="1D025D4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2125CA6"/>
    <w:multiLevelType w:val="hybridMultilevel"/>
    <w:tmpl w:val="C010DE78"/>
    <w:lvl w:ilvl="0" w:tplc="23B88BC0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F123934"/>
    <w:multiLevelType w:val="hybridMultilevel"/>
    <w:tmpl w:val="1D8C0BF2"/>
    <w:lvl w:ilvl="0" w:tplc="7A00ECC6">
      <w:start w:val="2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6">
    <w:nsid w:val="52A53F37"/>
    <w:multiLevelType w:val="hybridMultilevel"/>
    <w:tmpl w:val="08060D86"/>
    <w:lvl w:ilvl="0" w:tplc="384C22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7D678A0"/>
    <w:multiLevelType w:val="hybridMultilevel"/>
    <w:tmpl w:val="3EDA7DFA"/>
    <w:lvl w:ilvl="0" w:tplc="5CF825CA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8">
    <w:nsid w:val="57FC29C1"/>
    <w:multiLevelType w:val="hybridMultilevel"/>
    <w:tmpl w:val="703C4DEE"/>
    <w:lvl w:ilvl="0" w:tplc="1ED0582E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E8F22C0"/>
    <w:multiLevelType w:val="hybridMultilevel"/>
    <w:tmpl w:val="C2EEA72E"/>
    <w:lvl w:ilvl="0" w:tplc="DAF0D1D8">
      <w:start w:val="2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0">
    <w:nsid w:val="78B86A76"/>
    <w:multiLevelType w:val="hybridMultilevel"/>
    <w:tmpl w:val="DF229F96"/>
    <w:lvl w:ilvl="0" w:tplc="1D025D4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10"/>
  </w:num>
  <w:num w:numId="5">
    <w:abstractNumId w:val="17"/>
  </w:num>
  <w:num w:numId="6">
    <w:abstractNumId w:val="7"/>
  </w:num>
  <w:num w:numId="7">
    <w:abstractNumId w:val="4"/>
  </w:num>
  <w:num w:numId="8">
    <w:abstractNumId w:val="2"/>
  </w:num>
  <w:num w:numId="9">
    <w:abstractNumId w:val="13"/>
  </w:num>
  <w:num w:numId="10">
    <w:abstractNumId w:val="20"/>
  </w:num>
  <w:num w:numId="11">
    <w:abstractNumId w:val="1"/>
  </w:num>
  <w:num w:numId="12">
    <w:abstractNumId w:val="5"/>
  </w:num>
  <w:num w:numId="13">
    <w:abstractNumId w:val="11"/>
  </w:num>
  <w:num w:numId="14">
    <w:abstractNumId w:val="18"/>
  </w:num>
  <w:num w:numId="15">
    <w:abstractNumId w:val="15"/>
  </w:num>
  <w:num w:numId="16">
    <w:abstractNumId w:val="12"/>
  </w:num>
  <w:num w:numId="17">
    <w:abstractNumId w:val="8"/>
  </w:num>
  <w:num w:numId="18">
    <w:abstractNumId w:val="0"/>
  </w:num>
  <w:num w:numId="19">
    <w:abstractNumId w:val="19"/>
  </w:num>
  <w:num w:numId="20">
    <w:abstractNumId w:val="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710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9F6"/>
    <w:rsid w:val="000537E9"/>
    <w:rsid w:val="00063071"/>
    <w:rsid w:val="00063F6B"/>
    <w:rsid w:val="00066C11"/>
    <w:rsid w:val="000A4781"/>
    <w:rsid w:val="000D7400"/>
    <w:rsid w:val="000F1957"/>
    <w:rsid w:val="0011727B"/>
    <w:rsid w:val="001240FD"/>
    <w:rsid w:val="00141961"/>
    <w:rsid w:val="00145812"/>
    <w:rsid w:val="00153B8A"/>
    <w:rsid w:val="00171D81"/>
    <w:rsid w:val="001778AB"/>
    <w:rsid w:val="00194DD9"/>
    <w:rsid w:val="001B6C84"/>
    <w:rsid w:val="001C7042"/>
    <w:rsid w:val="001C7F98"/>
    <w:rsid w:val="00220701"/>
    <w:rsid w:val="00233FC7"/>
    <w:rsid w:val="00235AA6"/>
    <w:rsid w:val="002633A7"/>
    <w:rsid w:val="00265EC9"/>
    <w:rsid w:val="002707E2"/>
    <w:rsid w:val="00274C9E"/>
    <w:rsid w:val="00276EAB"/>
    <w:rsid w:val="002F00DE"/>
    <w:rsid w:val="00321741"/>
    <w:rsid w:val="00347889"/>
    <w:rsid w:val="003904CF"/>
    <w:rsid w:val="003908DC"/>
    <w:rsid w:val="0040212F"/>
    <w:rsid w:val="00414D88"/>
    <w:rsid w:val="004157FD"/>
    <w:rsid w:val="004165EF"/>
    <w:rsid w:val="00430674"/>
    <w:rsid w:val="004343AA"/>
    <w:rsid w:val="00441970"/>
    <w:rsid w:val="0045529D"/>
    <w:rsid w:val="0048669A"/>
    <w:rsid w:val="004A7A68"/>
    <w:rsid w:val="004C1CAF"/>
    <w:rsid w:val="004C7C88"/>
    <w:rsid w:val="004D16AE"/>
    <w:rsid w:val="00501896"/>
    <w:rsid w:val="00502C33"/>
    <w:rsid w:val="005069D7"/>
    <w:rsid w:val="00506C33"/>
    <w:rsid w:val="00510594"/>
    <w:rsid w:val="005110D4"/>
    <w:rsid w:val="00525D06"/>
    <w:rsid w:val="00545827"/>
    <w:rsid w:val="00567FAB"/>
    <w:rsid w:val="005879C1"/>
    <w:rsid w:val="00591EE7"/>
    <w:rsid w:val="00597971"/>
    <w:rsid w:val="005A116F"/>
    <w:rsid w:val="005A5728"/>
    <w:rsid w:val="005A6E81"/>
    <w:rsid w:val="005D357E"/>
    <w:rsid w:val="005F5CD6"/>
    <w:rsid w:val="00613FC4"/>
    <w:rsid w:val="00641F44"/>
    <w:rsid w:val="00645764"/>
    <w:rsid w:val="006511DD"/>
    <w:rsid w:val="0065350D"/>
    <w:rsid w:val="006849A3"/>
    <w:rsid w:val="00693D1B"/>
    <w:rsid w:val="00694249"/>
    <w:rsid w:val="006A0A35"/>
    <w:rsid w:val="006B7F9F"/>
    <w:rsid w:val="006C1406"/>
    <w:rsid w:val="006C5D0A"/>
    <w:rsid w:val="006C6F05"/>
    <w:rsid w:val="006E0F06"/>
    <w:rsid w:val="007049F6"/>
    <w:rsid w:val="00710793"/>
    <w:rsid w:val="00714041"/>
    <w:rsid w:val="007146B4"/>
    <w:rsid w:val="00720ACE"/>
    <w:rsid w:val="00733C8A"/>
    <w:rsid w:val="00774A9F"/>
    <w:rsid w:val="00792AAA"/>
    <w:rsid w:val="007C6C23"/>
    <w:rsid w:val="0080305D"/>
    <w:rsid w:val="008142C7"/>
    <w:rsid w:val="00862640"/>
    <w:rsid w:val="00867196"/>
    <w:rsid w:val="00885111"/>
    <w:rsid w:val="00893073"/>
    <w:rsid w:val="008B7018"/>
    <w:rsid w:val="008C55AC"/>
    <w:rsid w:val="008C63EF"/>
    <w:rsid w:val="008D3518"/>
    <w:rsid w:val="00907BA2"/>
    <w:rsid w:val="009230AA"/>
    <w:rsid w:val="009343EC"/>
    <w:rsid w:val="0093772B"/>
    <w:rsid w:val="009446E8"/>
    <w:rsid w:val="009455AD"/>
    <w:rsid w:val="0097482D"/>
    <w:rsid w:val="00974E8C"/>
    <w:rsid w:val="00976C76"/>
    <w:rsid w:val="00986C82"/>
    <w:rsid w:val="009C041B"/>
    <w:rsid w:val="009D3049"/>
    <w:rsid w:val="009D48C9"/>
    <w:rsid w:val="009D75CA"/>
    <w:rsid w:val="00A022AF"/>
    <w:rsid w:val="00A10BF9"/>
    <w:rsid w:val="00A27999"/>
    <w:rsid w:val="00A375EB"/>
    <w:rsid w:val="00A41320"/>
    <w:rsid w:val="00A460CC"/>
    <w:rsid w:val="00A518B0"/>
    <w:rsid w:val="00A52882"/>
    <w:rsid w:val="00A81FC4"/>
    <w:rsid w:val="00A97356"/>
    <w:rsid w:val="00AB1CBA"/>
    <w:rsid w:val="00AB4538"/>
    <w:rsid w:val="00AB76A0"/>
    <w:rsid w:val="00AC3005"/>
    <w:rsid w:val="00AD6A73"/>
    <w:rsid w:val="00AE7A24"/>
    <w:rsid w:val="00AF445E"/>
    <w:rsid w:val="00B23F97"/>
    <w:rsid w:val="00B35A79"/>
    <w:rsid w:val="00B37222"/>
    <w:rsid w:val="00B413D8"/>
    <w:rsid w:val="00B535B9"/>
    <w:rsid w:val="00B604E1"/>
    <w:rsid w:val="00B67A6F"/>
    <w:rsid w:val="00B76484"/>
    <w:rsid w:val="00B9027F"/>
    <w:rsid w:val="00B947E3"/>
    <w:rsid w:val="00B95D52"/>
    <w:rsid w:val="00BA7B1B"/>
    <w:rsid w:val="00BE0917"/>
    <w:rsid w:val="00BE14EE"/>
    <w:rsid w:val="00BE2595"/>
    <w:rsid w:val="00C2108F"/>
    <w:rsid w:val="00C21DC0"/>
    <w:rsid w:val="00C23E4F"/>
    <w:rsid w:val="00C317C8"/>
    <w:rsid w:val="00C744DA"/>
    <w:rsid w:val="00C93475"/>
    <w:rsid w:val="00CB03D6"/>
    <w:rsid w:val="00CD28A2"/>
    <w:rsid w:val="00CD45B8"/>
    <w:rsid w:val="00CF5BD0"/>
    <w:rsid w:val="00D102A9"/>
    <w:rsid w:val="00D20CE0"/>
    <w:rsid w:val="00D525FC"/>
    <w:rsid w:val="00D56782"/>
    <w:rsid w:val="00D606F1"/>
    <w:rsid w:val="00D65050"/>
    <w:rsid w:val="00D71A1B"/>
    <w:rsid w:val="00D846EF"/>
    <w:rsid w:val="00DE1093"/>
    <w:rsid w:val="00DE3AB5"/>
    <w:rsid w:val="00DE4765"/>
    <w:rsid w:val="00E020D0"/>
    <w:rsid w:val="00E365FA"/>
    <w:rsid w:val="00E5346E"/>
    <w:rsid w:val="00E66C7E"/>
    <w:rsid w:val="00E66DFE"/>
    <w:rsid w:val="00E75366"/>
    <w:rsid w:val="00E942E7"/>
    <w:rsid w:val="00EA2B64"/>
    <w:rsid w:val="00EA46DE"/>
    <w:rsid w:val="00EC35B3"/>
    <w:rsid w:val="00EC7CA7"/>
    <w:rsid w:val="00ED3909"/>
    <w:rsid w:val="00EE51B4"/>
    <w:rsid w:val="00EE6178"/>
    <w:rsid w:val="00EF3762"/>
    <w:rsid w:val="00F56589"/>
    <w:rsid w:val="00F6397A"/>
    <w:rsid w:val="00F869AB"/>
    <w:rsid w:val="00FA456A"/>
    <w:rsid w:val="00FC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F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9F6"/>
    <w:pPr>
      <w:ind w:leftChars="400" w:left="800"/>
    </w:pPr>
  </w:style>
  <w:style w:type="table" w:styleId="a4">
    <w:name w:val="Table Grid"/>
    <w:basedOn w:val="a1"/>
    <w:uiPriority w:val="59"/>
    <w:rsid w:val="00704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704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049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641F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641F44"/>
  </w:style>
  <w:style w:type="paragraph" w:styleId="a7">
    <w:name w:val="footer"/>
    <w:basedOn w:val="a"/>
    <w:link w:val="Char1"/>
    <w:uiPriority w:val="99"/>
    <w:semiHidden/>
    <w:unhideWhenUsed/>
    <w:rsid w:val="00641F4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641F44"/>
  </w:style>
  <w:style w:type="character" w:styleId="a8">
    <w:name w:val="annotation reference"/>
    <w:basedOn w:val="a0"/>
    <w:uiPriority w:val="99"/>
    <w:semiHidden/>
    <w:unhideWhenUsed/>
    <w:rsid w:val="006B7F9F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6B7F9F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6B7F9F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B7F9F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6B7F9F"/>
    <w:rPr>
      <w:b/>
      <w:bCs/>
    </w:rPr>
  </w:style>
  <w:style w:type="character" w:styleId="ab">
    <w:name w:val="Placeholder Text"/>
    <w:basedOn w:val="a0"/>
    <w:uiPriority w:val="99"/>
    <w:semiHidden/>
    <w:rsid w:val="00B604E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48148;&#53461;%20&#54868;&#47732;\eunsa\&#44397;&#45236;&#54144;&#46300;&#49884;&#51109;&#46041;&#54693;%20&#44536;&#47000;&#54532;&#46321;(2013.4&#50900;)%20&#44397;&#51228;&#48512;&#51228;&#44277;&#50857;2_&#50689;&#4792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chart>
    <c:plotArea>
      <c:layout/>
      <c:barChart>
        <c:barDir val="col"/>
        <c:grouping val="stacked"/>
        <c:ser>
          <c:idx val="1"/>
          <c:order val="0"/>
          <c:tx>
            <c:strRef>
              <c:f>'인컴펀드 그래프'!$N$8</c:f>
              <c:strCache>
                <c:ptCount val="1"/>
                <c:pt idx="0">
                  <c:v>Fund of Funds</c:v>
                </c:pt>
              </c:strCache>
            </c:strRef>
          </c:tx>
          <c:cat>
            <c:strRef>
              <c:f>'인컴펀드 그래프'!$M$9:$M$14</c:f>
              <c:strCache>
                <c:ptCount val="6"/>
                <c:pt idx="0">
                  <c:v>End of '09</c:v>
                </c:pt>
                <c:pt idx="1">
                  <c:v>End of '10</c:v>
                </c:pt>
                <c:pt idx="2">
                  <c:v>End of '11</c:v>
                </c:pt>
                <c:pt idx="3">
                  <c:v>End of '12</c:v>
                </c:pt>
                <c:pt idx="4">
                  <c:v>End of Mar. '13</c:v>
                </c:pt>
                <c:pt idx="5">
                  <c:v>End of Apr. '13</c:v>
                </c:pt>
              </c:strCache>
            </c:strRef>
          </c:cat>
          <c:val>
            <c:numRef>
              <c:f>'인컴펀드 그래프'!$N$9:$N$14</c:f>
              <c:numCache>
                <c:formatCode>_-* #,##0_-;\-* #,##0_-;_-* "-"_-;_-@_-</c:formatCode>
                <c:ptCount val="6"/>
                <c:pt idx="0">
                  <c:v>30.926033281999977</c:v>
                </c:pt>
                <c:pt idx="1">
                  <c:v>35.72838244400004</c:v>
                </c:pt>
                <c:pt idx="2">
                  <c:v>20.645838287</c:v>
                </c:pt>
                <c:pt idx="3">
                  <c:v>121.37067552699996</c:v>
                </c:pt>
                <c:pt idx="4">
                  <c:v>554.31038579399979</c:v>
                </c:pt>
                <c:pt idx="5">
                  <c:v>803.10518444600064</c:v>
                </c:pt>
              </c:numCache>
            </c:numRef>
          </c:val>
        </c:ser>
        <c:ser>
          <c:idx val="2"/>
          <c:order val="1"/>
          <c:tx>
            <c:strRef>
              <c:f>'인컴펀드 그래프'!$O$8</c:f>
              <c:strCache>
                <c:ptCount val="1"/>
                <c:pt idx="0">
                  <c:v>Equity Funds</c:v>
                </c:pt>
              </c:strCache>
            </c:strRef>
          </c:tx>
          <c:cat>
            <c:strRef>
              <c:f>'인컴펀드 그래프'!$M$9:$M$14</c:f>
              <c:strCache>
                <c:ptCount val="6"/>
                <c:pt idx="0">
                  <c:v>End of '09</c:v>
                </c:pt>
                <c:pt idx="1">
                  <c:v>End of '10</c:v>
                </c:pt>
                <c:pt idx="2">
                  <c:v>End of '11</c:v>
                </c:pt>
                <c:pt idx="3">
                  <c:v>End of '12</c:v>
                </c:pt>
                <c:pt idx="4">
                  <c:v>End of Mar. '13</c:v>
                </c:pt>
                <c:pt idx="5">
                  <c:v>End of Apr. '13</c:v>
                </c:pt>
              </c:strCache>
            </c:strRef>
          </c:cat>
          <c:val>
            <c:numRef>
              <c:f>'인컴펀드 그래프'!$O$9:$O$14</c:f>
              <c:numCache>
                <c:formatCode>_-* #,##0_-;\-* #,##0_-;_-* "-"_-;_-@_-</c:formatCode>
                <c:ptCount val="6"/>
                <c:pt idx="0">
                  <c:v>15.628634625</c:v>
                </c:pt>
                <c:pt idx="1">
                  <c:v>0.99316580900000007</c:v>
                </c:pt>
                <c:pt idx="2">
                  <c:v>0.86277644400000031</c:v>
                </c:pt>
                <c:pt idx="3">
                  <c:v>0.62967539400000039</c:v>
                </c:pt>
                <c:pt idx="4">
                  <c:v>0.61589040100000036</c:v>
                </c:pt>
                <c:pt idx="5">
                  <c:v>0.59956085899999967</c:v>
                </c:pt>
              </c:numCache>
            </c:numRef>
          </c:val>
        </c:ser>
        <c:ser>
          <c:idx val="3"/>
          <c:order val="2"/>
          <c:tx>
            <c:strRef>
              <c:f>'인컴펀드 그래프'!$P$8</c:f>
              <c:strCache>
                <c:ptCount val="1"/>
                <c:pt idx="0">
                  <c:v>Bond Funds</c:v>
                </c:pt>
              </c:strCache>
            </c:strRef>
          </c:tx>
          <c:cat>
            <c:strRef>
              <c:f>'인컴펀드 그래프'!$M$9:$M$14</c:f>
              <c:strCache>
                <c:ptCount val="6"/>
                <c:pt idx="0">
                  <c:v>End of '09</c:v>
                </c:pt>
                <c:pt idx="1">
                  <c:v>End of '10</c:v>
                </c:pt>
                <c:pt idx="2">
                  <c:v>End of '11</c:v>
                </c:pt>
                <c:pt idx="3">
                  <c:v>End of '12</c:v>
                </c:pt>
                <c:pt idx="4">
                  <c:v>End of Mar. '13</c:v>
                </c:pt>
                <c:pt idx="5">
                  <c:v>End of Apr. '13</c:v>
                </c:pt>
              </c:strCache>
            </c:strRef>
          </c:cat>
          <c:val>
            <c:numRef>
              <c:f>'인컴펀드 그래프'!$P$9:$P$14</c:f>
              <c:numCache>
                <c:formatCode>_-* #,##0_-;\-* #,##0_-;_-* "-"_-;_-@_-</c:formatCode>
                <c:ptCount val="6"/>
                <c:pt idx="0">
                  <c:v>218.53294601100009</c:v>
                </c:pt>
                <c:pt idx="1">
                  <c:v>421.52341608499984</c:v>
                </c:pt>
                <c:pt idx="2">
                  <c:v>274.24432402199994</c:v>
                </c:pt>
                <c:pt idx="3">
                  <c:v>701.32048870499966</c:v>
                </c:pt>
                <c:pt idx="4">
                  <c:v>879.67379014300025</c:v>
                </c:pt>
                <c:pt idx="5">
                  <c:v>956.78671195300035</c:v>
                </c:pt>
              </c:numCache>
            </c:numRef>
          </c:val>
        </c:ser>
        <c:ser>
          <c:idx val="4"/>
          <c:order val="3"/>
          <c:tx>
            <c:strRef>
              <c:f>'인컴펀드 그래프'!$Q$8</c:f>
              <c:strCache>
                <c:ptCount val="1"/>
                <c:pt idx="0">
                  <c:v>Derivatives</c:v>
                </c:pt>
              </c:strCache>
            </c:strRef>
          </c:tx>
          <c:cat>
            <c:strRef>
              <c:f>'인컴펀드 그래프'!$M$9:$M$14</c:f>
              <c:strCache>
                <c:ptCount val="6"/>
                <c:pt idx="0">
                  <c:v>End of '09</c:v>
                </c:pt>
                <c:pt idx="1">
                  <c:v>End of '10</c:v>
                </c:pt>
                <c:pt idx="2">
                  <c:v>End of '11</c:v>
                </c:pt>
                <c:pt idx="3">
                  <c:v>End of '12</c:v>
                </c:pt>
                <c:pt idx="4">
                  <c:v>End of Mar. '13</c:v>
                </c:pt>
                <c:pt idx="5">
                  <c:v>End of Apr. '13</c:v>
                </c:pt>
              </c:strCache>
            </c:strRef>
          </c:cat>
          <c:val>
            <c:numRef>
              <c:f>'인컴펀드 그래프'!$Q$9:$Q$14</c:f>
              <c:numCache>
                <c:formatCode>_-* #,##0_-;\-* #,##0_-;_-* "-"_-;_-@_-</c:formatCode>
                <c:ptCount val="6"/>
                <c:pt idx="0">
                  <c:v>28.277469795000005</c:v>
                </c:pt>
                <c:pt idx="1">
                  <c:v>0</c:v>
                </c:pt>
                <c:pt idx="2">
                  <c:v>0</c:v>
                </c:pt>
                <c:pt idx="3">
                  <c:v>207.02721999400003</c:v>
                </c:pt>
                <c:pt idx="4">
                  <c:v>228.08292383000008</c:v>
                </c:pt>
                <c:pt idx="5">
                  <c:v>244.120961497</c:v>
                </c:pt>
              </c:numCache>
            </c:numRef>
          </c:val>
        </c:ser>
        <c:ser>
          <c:idx val="5"/>
          <c:order val="4"/>
          <c:tx>
            <c:strRef>
              <c:f>'인컴펀드 그래프'!$R$8</c:f>
              <c:strCache>
                <c:ptCount val="1"/>
                <c:pt idx="0">
                  <c:v>Hybrid-Equity Funds</c:v>
                </c:pt>
              </c:strCache>
            </c:strRef>
          </c:tx>
          <c:cat>
            <c:strRef>
              <c:f>'인컴펀드 그래프'!$M$9:$M$14</c:f>
              <c:strCache>
                <c:ptCount val="6"/>
                <c:pt idx="0">
                  <c:v>End of '09</c:v>
                </c:pt>
                <c:pt idx="1">
                  <c:v>End of '10</c:v>
                </c:pt>
                <c:pt idx="2">
                  <c:v>End of '11</c:v>
                </c:pt>
                <c:pt idx="3">
                  <c:v>End of '12</c:v>
                </c:pt>
                <c:pt idx="4">
                  <c:v>End of Mar. '13</c:v>
                </c:pt>
                <c:pt idx="5">
                  <c:v>End of Apr. '13</c:v>
                </c:pt>
              </c:strCache>
            </c:strRef>
          </c:cat>
          <c:val>
            <c:numRef>
              <c:f>'인컴펀드 그래프'!$R$9:$R$14</c:f>
              <c:numCache>
                <c:formatCode>_-* #,##0_-;\-* #,##0_-;_-* "-"_-;_-@_-</c:formatCode>
                <c:ptCount val="6"/>
                <c:pt idx="0">
                  <c:v>67.878995248999956</c:v>
                </c:pt>
                <c:pt idx="1">
                  <c:v>7.8341639089999973</c:v>
                </c:pt>
                <c:pt idx="2">
                  <c:v>5.7839541749999972</c:v>
                </c:pt>
                <c:pt idx="3">
                  <c:v>4.5248250850000007</c:v>
                </c:pt>
                <c:pt idx="4">
                  <c:v>4.470619690000003</c:v>
                </c:pt>
                <c:pt idx="5">
                  <c:v>4.4921630519999995</c:v>
                </c:pt>
              </c:numCache>
            </c:numRef>
          </c:val>
        </c:ser>
        <c:ser>
          <c:idx val="6"/>
          <c:order val="5"/>
          <c:tx>
            <c:strRef>
              <c:f>'인컴펀드 그래프'!$S$8</c:f>
              <c:strCache>
                <c:ptCount val="1"/>
                <c:pt idx="0">
                  <c:v>Hybrid-Bond Funds</c:v>
                </c:pt>
              </c:strCache>
            </c:strRef>
          </c:tx>
          <c:cat>
            <c:strRef>
              <c:f>'인컴펀드 그래프'!$M$9:$M$14</c:f>
              <c:strCache>
                <c:ptCount val="6"/>
                <c:pt idx="0">
                  <c:v>End of '09</c:v>
                </c:pt>
                <c:pt idx="1">
                  <c:v>End of '10</c:v>
                </c:pt>
                <c:pt idx="2">
                  <c:v>End of '11</c:v>
                </c:pt>
                <c:pt idx="3">
                  <c:v>End of '12</c:v>
                </c:pt>
                <c:pt idx="4">
                  <c:v>End of Mar. '13</c:v>
                </c:pt>
                <c:pt idx="5">
                  <c:v>End of Apr. '13</c:v>
                </c:pt>
              </c:strCache>
            </c:strRef>
          </c:cat>
          <c:val>
            <c:numRef>
              <c:f>'인컴펀드 그래프'!$S$9:$S$14</c:f>
              <c:numCache>
                <c:formatCode>_-* #,##0_-;\-* #,##0_-;_-* "-"_-;_-@_-</c:formatCode>
                <c:ptCount val="6"/>
                <c:pt idx="0">
                  <c:v>205.3465641219999</c:v>
                </c:pt>
                <c:pt idx="1">
                  <c:v>193.53017852099998</c:v>
                </c:pt>
                <c:pt idx="2">
                  <c:v>296.28316479799975</c:v>
                </c:pt>
                <c:pt idx="3">
                  <c:v>297.95799781000005</c:v>
                </c:pt>
                <c:pt idx="4">
                  <c:v>470.37158437700003</c:v>
                </c:pt>
                <c:pt idx="5">
                  <c:v>587.41932737399998</c:v>
                </c:pt>
              </c:numCache>
            </c:numRef>
          </c:val>
        </c:ser>
        <c:overlap val="100"/>
        <c:axId val="134969216"/>
        <c:axId val="134970752"/>
      </c:barChart>
      <c:lineChart>
        <c:grouping val="standard"/>
        <c:ser>
          <c:idx val="7"/>
          <c:order val="7"/>
          <c:tx>
            <c:strRef>
              <c:f>'인컴펀드 그래프'!$T$8</c:f>
              <c:strCache>
                <c:ptCount val="1"/>
                <c:pt idx="0">
                  <c:v>Total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5.0592199198659815E-2"/>
                  <c:y val="-7.8978517364632195E-17"/>
                </c:manualLayout>
              </c:layout>
              <c:tx>
                <c:rich>
                  <a:bodyPr/>
                  <a:lstStyle/>
                  <a:p>
                    <a:r>
                      <a:rPr lang="en-US" altLang="ko-KR"/>
                      <a:t>0.567</a:t>
                    </a:r>
                    <a:endParaRPr lang="ko-KR" alt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4.7929451872414569E-2"/>
                  <c:y val="4.307968894429322E-3"/>
                </c:manualLayout>
              </c:layout>
              <c:tx>
                <c:rich>
                  <a:bodyPr/>
                  <a:lstStyle/>
                  <a:p>
                    <a:r>
                      <a:rPr lang="en-US" altLang="ko-KR"/>
                      <a:t>0.660</a:t>
                    </a:r>
                    <a:endParaRPr lang="ko-KR" alt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4.7929451872414569E-2"/>
                  <c:y val="7.8978517364632195E-17"/>
                </c:manualLayout>
              </c:layout>
              <c:tx>
                <c:rich>
                  <a:bodyPr/>
                  <a:lstStyle/>
                  <a:p>
                    <a:r>
                      <a:rPr lang="en-US" altLang="ko-KR"/>
                      <a:t>0.598</a:t>
                    </a:r>
                    <a:endParaRPr lang="ko-KR" alt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-4.4164914215506432E-2"/>
                  <c:y val="4.9088796736798376E-2"/>
                </c:manualLayout>
              </c:layout>
              <c:tx>
                <c:rich>
                  <a:bodyPr/>
                  <a:lstStyle/>
                  <a:p>
                    <a:r>
                      <a:rPr lang="en-US" altLang="ko-KR"/>
                      <a:t>1.333</a:t>
                    </a:r>
                    <a:endParaRPr lang="ko-KR" alt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-4.5266704546169323E-2"/>
                  <c:y val="8.185140899415716E-2"/>
                </c:manualLayout>
              </c:layout>
              <c:tx>
                <c:rich>
                  <a:bodyPr/>
                  <a:lstStyle/>
                  <a:p>
                    <a:r>
                      <a:rPr lang="en-US" altLang="ko-KR"/>
                      <a:t>2.138</a:t>
                    </a:r>
                    <a:endParaRPr lang="ko-KR" alt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-4.792945187241468E-2"/>
                  <c:y val="9.9083284571874403E-2"/>
                </c:manualLayout>
              </c:layout>
              <c:tx>
                <c:rich>
                  <a:bodyPr/>
                  <a:lstStyle/>
                  <a:p>
                    <a:r>
                      <a:rPr lang="en-US" altLang="ko-KR"/>
                      <a:t>2.597</a:t>
                    </a:r>
                    <a:endParaRPr lang="ko-KR" altLang="en-US"/>
                  </a:p>
                </c:rich>
              </c:tx>
              <c:showVal val="1"/>
            </c:dLbl>
            <c:numFmt formatCode="#,##0&quot;십&quot;&quot;억&quot;&quot;원&quot;;\-#,##0" sourceLinked="0"/>
            <c:txPr>
              <a:bodyPr/>
              <a:lstStyle/>
              <a:p>
                <a:pPr>
                  <a:defRPr sz="800"/>
                </a:pPr>
                <a:endParaRPr lang="ko-KR"/>
              </a:p>
            </c:txPr>
            <c:showVal val="1"/>
          </c:dLbls>
          <c:val>
            <c:numRef>
              <c:f>'인컴펀드 그래프'!$T$9:$T$14</c:f>
              <c:numCache>
                <c:formatCode>_-* #,##0_-;\-* #,##0_-;_-* "-"_-;_-@_-</c:formatCode>
                <c:ptCount val="6"/>
                <c:pt idx="0">
                  <c:v>566.59064308399968</c:v>
                </c:pt>
                <c:pt idx="1">
                  <c:v>659.60930676800035</c:v>
                </c:pt>
                <c:pt idx="2">
                  <c:v>597.82005772599939</c:v>
                </c:pt>
                <c:pt idx="3">
                  <c:v>1332.8308825149998</c:v>
                </c:pt>
                <c:pt idx="4">
                  <c:v>2137.5251942350014</c:v>
                </c:pt>
                <c:pt idx="5">
                  <c:v>2596.5239091810008</c:v>
                </c:pt>
              </c:numCache>
            </c:numRef>
          </c:val>
        </c:ser>
        <c:marker val="1"/>
        <c:axId val="134969216"/>
        <c:axId val="134970752"/>
      </c:lineChart>
      <c:lineChart>
        <c:grouping val="standard"/>
        <c:ser>
          <c:idx val="0"/>
          <c:order val="6"/>
          <c:tx>
            <c:strRef>
              <c:f>'인컴펀드 그래프'!$U$8</c:f>
              <c:strCache>
                <c:ptCount val="1"/>
                <c:pt idx="0">
                  <c:v>No. of Funds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diamond"/>
            <c:size val="7"/>
            <c:spPr>
              <a:solidFill>
                <a:srgbClr val="FF0000"/>
              </a:solidFill>
            </c:spPr>
          </c:marker>
          <c:dLbls>
            <c:showVal val="1"/>
          </c:dLbls>
          <c:val>
            <c:numRef>
              <c:f>'인컴펀드 그래프'!$U$9:$U$14</c:f>
              <c:numCache>
                <c:formatCode>General</c:formatCode>
                <c:ptCount val="6"/>
                <c:pt idx="0">
                  <c:v>23</c:v>
                </c:pt>
                <c:pt idx="1">
                  <c:v>25</c:v>
                </c:pt>
                <c:pt idx="2">
                  <c:v>24</c:v>
                </c:pt>
                <c:pt idx="3">
                  <c:v>37</c:v>
                </c:pt>
                <c:pt idx="4">
                  <c:v>55</c:v>
                </c:pt>
                <c:pt idx="5">
                  <c:v>67</c:v>
                </c:pt>
              </c:numCache>
            </c:numRef>
          </c:val>
        </c:ser>
        <c:marker val="1"/>
        <c:axId val="134978176"/>
        <c:axId val="134976640"/>
      </c:lineChart>
      <c:catAx>
        <c:axId val="13496921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700" baseline="0"/>
            </a:pPr>
            <a:endParaRPr lang="ko-KR"/>
          </a:p>
        </c:txPr>
        <c:crossAx val="134970752"/>
        <c:crosses val="autoZero"/>
        <c:auto val="1"/>
        <c:lblAlgn val="ctr"/>
        <c:lblOffset val="100"/>
      </c:catAx>
      <c:valAx>
        <c:axId val="134970752"/>
        <c:scaling>
          <c:orientation val="minMax"/>
          <c:max val="3000"/>
          <c:min val="0"/>
        </c:scaling>
        <c:axPos val="l"/>
        <c:numFmt formatCode="_-* #,##0_-;\-* #,##0_-;_-* &quot;-&quot;_-;_-@_-" sourceLinked="1"/>
        <c:tickLblPos val="nextTo"/>
        <c:spPr>
          <a:ln>
            <a:noFill/>
          </a:ln>
        </c:spPr>
        <c:txPr>
          <a:bodyPr/>
          <a:lstStyle/>
          <a:p>
            <a:pPr>
              <a:defRPr>
                <a:solidFill>
                  <a:schemeClr val="bg1"/>
                </a:solidFill>
              </a:defRPr>
            </a:pPr>
            <a:endParaRPr lang="ko-KR"/>
          </a:p>
        </c:txPr>
        <c:crossAx val="134969216"/>
        <c:crosses val="autoZero"/>
        <c:crossBetween val="between"/>
      </c:valAx>
      <c:valAx>
        <c:axId val="134976640"/>
        <c:scaling>
          <c:orientation val="minMax"/>
          <c:max val="70"/>
        </c:scaling>
        <c:axPos val="r"/>
        <c:numFmt formatCode="General" sourceLinked="1"/>
        <c:tickLblPos val="nextTo"/>
        <c:spPr>
          <a:ln>
            <a:noFill/>
          </a:ln>
        </c:spPr>
        <c:txPr>
          <a:bodyPr/>
          <a:lstStyle/>
          <a:p>
            <a:pPr>
              <a:defRPr>
                <a:solidFill>
                  <a:schemeClr val="bg1"/>
                </a:solidFill>
              </a:defRPr>
            </a:pPr>
            <a:endParaRPr lang="ko-KR"/>
          </a:p>
        </c:txPr>
        <c:crossAx val="134978176"/>
        <c:crosses val="max"/>
        <c:crossBetween val="between"/>
      </c:valAx>
      <c:catAx>
        <c:axId val="134978176"/>
        <c:scaling>
          <c:orientation val="minMax"/>
        </c:scaling>
        <c:delete val="1"/>
        <c:axPos val="b"/>
        <c:tickLblPos val="none"/>
        <c:crossAx val="134976640"/>
        <c:crosses val="autoZero"/>
        <c:auto val="1"/>
        <c:lblAlgn val="ctr"/>
        <c:lblOffset val="100"/>
      </c:catAx>
    </c:plotArea>
    <c:legend>
      <c:legendPos val="r"/>
      <c:legendEntry>
        <c:idx val="0"/>
        <c:txPr>
          <a:bodyPr/>
          <a:lstStyle/>
          <a:p>
            <a:pPr>
              <a:defRPr sz="900" b="0" i="0"/>
            </a:pPr>
            <a:endParaRPr lang="ko-KR"/>
          </a:p>
        </c:txPr>
      </c:legendEntry>
      <c:legendEntry>
        <c:idx val="3"/>
        <c:txPr>
          <a:bodyPr/>
          <a:lstStyle/>
          <a:p>
            <a:pPr>
              <a:defRPr sz="900" b="0" i="0"/>
            </a:pPr>
            <a:endParaRPr lang="ko-KR"/>
          </a:p>
        </c:txPr>
      </c:legendEntry>
      <c:legendEntry>
        <c:idx val="6"/>
        <c:delete val="1"/>
      </c:legendEntry>
      <c:layout>
        <c:manualLayout>
          <c:xMode val="edge"/>
          <c:yMode val="edge"/>
          <c:x val="1.8037043651206966E-2"/>
          <c:y val="1.4868167239355278E-2"/>
          <c:w val="0.33914916621347002"/>
          <c:h val="0.46974019906840897"/>
        </c:manualLayout>
      </c:layout>
      <c:overlay val="1"/>
      <c:txPr>
        <a:bodyPr/>
        <a:lstStyle/>
        <a:p>
          <a:pPr>
            <a:defRPr sz="900"/>
          </a:pPr>
          <a:endParaRPr lang="ko-KR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896C2-AD65-4D09-A1CF-5542B594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2</cp:revision>
  <cp:lastPrinted>2013-05-21T07:46:00Z</cp:lastPrinted>
  <dcterms:created xsi:type="dcterms:W3CDTF">2013-05-22T01:46:00Z</dcterms:created>
  <dcterms:modified xsi:type="dcterms:W3CDTF">2013-05-22T01:46:00Z</dcterms:modified>
</cp:coreProperties>
</file>